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05D" w14:textId="77777777" w:rsidR="00601911" w:rsidRPr="00E233D8" w:rsidRDefault="009F00A6" w:rsidP="009F00A6">
      <w:pPr>
        <w:autoSpaceDE w:val="0"/>
        <w:autoSpaceDN w:val="0"/>
        <w:adjustRightInd w:val="0"/>
        <w:rPr>
          <w:rFonts w:ascii="Verdana" w:hAnsi="Verdana"/>
          <w:color w:val="7CEDFC"/>
          <w:sz w:val="22"/>
          <w:szCs w:val="22"/>
        </w:rPr>
      </w:pPr>
      <w:r w:rsidRPr="00E233D8">
        <w:rPr>
          <w:rFonts w:ascii="Verdana" w:eastAsiaTheme="minorHAnsi" w:hAnsi="Verdana" w:cs="OfficinaSans-Bold"/>
          <w:bCs/>
          <w:color w:val="7CEDFC"/>
          <w:sz w:val="22"/>
          <w:szCs w:val="22"/>
          <w:lang w:val="es-CL" w:eastAsia="en-US"/>
        </w:rPr>
        <w:t xml:space="preserve">Historia, Geografía y Ciencias Sociales </w:t>
      </w:r>
      <w:r w:rsidR="00601911" w:rsidRPr="00E233D8">
        <w:rPr>
          <w:rFonts w:ascii="Verdana" w:hAnsi="Verdana"/>
          <w:color w:val="7CEDFC"/>
          <w:sz w:val="22"/>
          <w:szCs w:val="22"/>
        </w:rPr>
        <w:t>1º medio / Unidad 1 / OA</w:t>
      </w:r>
      <w:r w:rsidR="003E3644">
        <w:rPr>
          <w:rFonts w:ascii="Verdana" w:hAnsi="Verdana"/>
          <w:color w:val="7CEDFC"/>
          <w:sz w:val="22"/>
          <w:szCs w:val="22"/>
        </w:rPr>
        <w:t>3</w:t>
      </w:r>
      <w:r w:rsidR="00601911" w:rsidRPr="00E233D8">
        <w:rPr>
          <w:rFonts w:ascii="Verdana" w:hAnsi="Verdana"/>
          <w:color w:val="7CEDFC"/>
          <w:sz w:val="22"/>
          <w:szCs w:val="22"/>
        </w:rPr>
        <w:t xml:space="preserve"> / Actividad </w:t>
      </w:r>
      <w:r w:rsidR="00D72BA9">
        <w:rPr>
          <w:rFonts w:ascii="Verdana" w:hAnsi="Verdana"/>
          <w:color w:val="7CEDFC"/>
          <w:sz w:val="22"/>
          <w:szCs w:val="22"/>
        </w:rPr>
        <w:t>2</w:t>
      </w:r>
    </w:p>
    <w:p w14:paraId="0C9B9090" w14:textId="77777777" w:rsidR="007D15C8" w:rsidRDefault="007D15C8">
      <w:pPr>
        <w:rPr>
          <w:color w:val="7CEDFC"/>
          <w:sz w:val="20"/>
          <w:szCs w:val="20"/>
        </w:rPr>
      </w:pPr>
    </w:p>
    <w:p w14:paraId="47059072" w14:textId="77777777" w:rsidR="005A451C" w:rsidRDefault="005A451C">
      <w:pPr>
        <w:rPr>
          <w:color w:val="7CEDFC"/>
          <w:sz w:val="20"/>
          <w:szCs w:val="20"/>
        </w:rPr>
      </w:pPr>
    </w:p>
    <w:p w14:paraId="3B833EBB" w14:textId="77777777" w:rsidR="005A451C" w:rsidRPr="005A451C" w:rsidRDefault="005A451C" w:rsidP="005A451C">
      <w:pPr>
        <w:pStyle w:val="Prrafodelista"/>
        <w:numPr>
          <w:ilvl w:val="0"/>
          <w:numId w:val="1"/>
        </w:numPr>
        <w:spacing w:after="120"/>
        <w:ind w:left="426" w:hanging="426"/>
        <w:rPr>
          <w:rFonts w:eastAsia="Calibri"/>
          <w:sz w:val="20"/>
          <w:szCs w:val="20"/>
          <w:lang w:eastAsia="en-US"/>
        </w:rPr>
      </w:pPr>
      <w:r w:rsidRPr="005A451C">
        <w:rPr>
          <w:rFonts w:eastAsia="Calibri"/>
          <w:sz w:val="20"/>
          <w:szCs w:val="20"/>
          <w:lang w:eastAsia="en-US"/>
        </w:rPr>
        <w:t>Tomando en cuenta la historia de los pueblos originarios de Sudamérica, la conquista y colonización del continente y la independencia, los y las estudiantes analizan los siguientes mapas y comparan las diferencias espaciales existentes en el marco de estos tres procesos.</w:t>
      </w:r>
    </w:p>
    <w:p w14:paraId="350A5331" w14:textId="77777777" w:rsidR="005A451C" w:rsidRPr="005A451C" w:rsidRDefault="005A451C" w:rsidP="005A451C">
      <w:pPr>
        <w:spacing w:after="120"/>
        <w:ind w:left="426"/>
        <w:contextualSpacing/>
        <w:rPr>
          <w:rFonts w:ascii="Verdana" w:eastAsia="Calibri" w:hAnsi="Verdana"/>
          <w:sz w:val="20"/>
          <w:szCs w:val="20"/>
          <w:lang w:eastAsia="en-US"/>
        </w:rPr>
      </w:pPr>
      <w:r w:rsidRPr="005A451C">
        <w:rPr>
          <w:rFonts w:ascii="Verdana" w:eastAsia="Calibri" w:hAnsi="Verdana"/>
          <w:sz w:val="20"/>
          <w:szCs w:val="20"/>
          <w:lang w:eastAsia="en-US"/>
        </w:rPr>
        <w:t>Con la mediación del o la docente, nombran los pueblos que habitaban América del Sur antes de la Conquista española; continúan con el nombre de los reinos y capitanías durante la Colonia, y finalizan nombrando a los países que existen actualmente en la región.</w:t>
      </w:r>
    </w:p>
    <w:p w14:paraId="68264EAC" w14:textId="77777777" w:rsidR="005A451C" w:rsidRPr="005A451C" w:rsidRDefault="005A451C" w:rsidP="005A451C">
      <w:pPr>
        <w:spacing w:after="120"/>
        <w:ind w:left="426"/>
        <w:contextualSpacing/>
        <w:rPr>
          <w:rFonts w:ascii="Verdana" w:eastAsia="Calibri" w:hAnsi="Verdana"/>
          <w:sz w:val="20"/>
          <w:szCs w:val="20"/>
          <w:lang w:eastAsia="en-US"/>
        </w:rPr>
      </w:pPr>
    </w:p>
    <w:p w14:paraId="20A50E74" w14:textId="77777777" w:rsidR="005A451C" w:rsidRDefault="005A451C" w:rsidP="005A451C">
      <w:pPr>
        <w:spacing w:before="120" w:after="120"/>
        <w:ind w:left="426"/>
        <w:contextualSpacing/>
        <w:rPr>
          <w:rFonts w:ascii="Verdana" w:eastAsia="Calibri" w:hAnsi="Verdana"/>
          <w:sz w:val="20"/>
          <w:szCs w:val="20"/>
          <w:lang w:eastAsia="en-US"/>
        </w:rPr>
      </w:pPr>
      <w:r w:rsidRPr="005A451C">
        <w:rPr>
          <w:rFonts w:ascii="Verdana" w:eastAsia="Calibri" w:hAnsi="Verdana"/>
          <w:sz w:val="20"/>
          <w:szCs w:val="20"/>
          <w:lang w:eastAsia="en-US"/>
        </w:rPr>
        <w:t xml:space="preserve">A continuación, discuten cómo se evidenciaron esos cambios en la delimitación de los espacios políticos, para lo cual analizan los mapas que se indican en la Fuente 1. Comparan la extensión del Tahuantinsuyo y su lógica de organización territorial con la implementada por los conquistadores al organizar el territorio americano. Por último, consideran el tránsito hacia Estados nacionales en el siglo XIX y discuten qué aspectos de continuidad y cambio pueden identificarse entre las regionalizaciones que se concretaron en estos tres momentos de la historia de América. A partir de este análisis, discuten los conceptos de región y de territorio presentes en estos tres contextos históricos y culturales. </w:t>
      </w:r>
    </w:p>
    <w:p w14:paraId="7728362E" w14:textId="77777777" w:rsidR="005A451C" w:rsidRDefault="005A451C" w:rsidP="005A451C">
      <w:pPr>
        <w:spacing w:before="120" w:after="120"/>
        <w:ind w:left="426"/>
        <w:contextualSpacing/>
        <w:rPr>
          <w:rFonts w:ascii="Verdana" w:eastAsia="Calibri" w:hAnsi="Verdana"/>
          <w:sz w:val="20"/>
          <w:szCs w:val="20"/>
          <w:lang w:eastAsia="en-US"/>
        </w:rPr>
      </w:pPr>
    </w:p>
    <w:p w14:paraId="42BA046E" w14:textId="53EB3C15" w:rsidR="005A451C" w:rsidRDefault="00561565" w:rsidP="005A451C">
      <w:pPr>
        <w:spacing w:after="120"/>
        <w:contextualSpacing/>
        <w:rPr>
          <w:rFonts w:eastAsia="Calibri"/>
          <w:szCs w:val="18"/>
          <w:lang w:eastAsia="en-US"/>
        </w:rPr>
      </w:pPr>
      <w:r>
        <w:rPr>
          <w:rFonts w:eastAsia="Calibri"/>
          <w:noProof/>
          <w:szCs w:val="18"/>
          <w:lang w:eastAsia="en-US"/>
        </w:rPr>
        <w:drawing>
          <wp:inline distT="0" distB="0" distL="0" distR="0" wp14:anchorId="3C57A431" wp14:editId="59ACC415">
            <wp:extent cx="5610225" cy="2533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2533650"/>
                    </a:xfrm>
                    <a:prstGeom prst="rect">
                      <a:avLst/>
                    </a:prstGeom>
                    <a:noFill/>
                    <a:ln>
                      <a:noFill/>
                    </a:ln>
                  </pic:spPr>
                </pic:pic>
              </a:graphicData>
            </a:graphic>
          </wp:inline>
        </w:drawing>
      </w:r>
    </w:p>
    <w:p w14:paraId="7548D470" w14:textId="77777777" w:rsidR="005A451C" w:rsidRDefault="005A451C" w:rsidP="005A451C">
      <w:pPr>
        <w:spacing w:after="120"/>
        <w:contextualSpacing/>
        <w:rPr>
          <w:rFonts w:eastAsia="Calibri"/>
          <w:color w:val="43CEFF"/>
          <w:szCs w:val="18"/>
          <w:lang w:eastAsia="en-US"/>
        </w:rPr>
      </w:pPr>
    </w:p>
    <w:p w14:paraId="060ABCC9" w14:textId="77777777" w:rsidR="005A451C" w:rsidRDefault="005A451C" w:rsidP="005A451C">
      <w:pPr>
        <w:spacing w:after="120"/>
        <w:contextualSpacing/>
        <w:rPr>
          <w:rFonts w:eastAsia="Calibri"/>
          <w:color w:val="43CEFF"/>
          <w:szCs w:val="18"/>
          <w:lang w:eastAsia="en-US"/>
        </w:rPr>
      </w:pPr>
    </w:p>
    <w:p w14:paraId="64F9144E" w14:textId="77777777" w:rsidR="005A451C" w:rsidRDefault="005A451C" w:rsidP="005A451C">
      <w:pPr>
        <w:spacing w:after="120"/>
        <w:contextualSpacing/>
        <w:rPr>
          <w:rFonts w:eastAsia="Calibri"/>
          <w:color w:val="43CEFF"/>
          <w:szCs w:val="18"/>
          <w:lang w:eastAsia="en-US"/>
        </w:rPr>
      </w:pPr>
    </w:p>
    <w:p w14:paraId="428CD166" w14:textId="77777777" w:rsidR="005A451C" w:rsidRDefault="005A451C">
      <w:pPr>
        <w:spacing w:after="160" w:line="259" w:lineRule="auto"/>
        <w:rPr>
          <w:rFonts w:eastAsia="Calibri"/>
          <w:color w:val="43CEFF"/>
          <w:szCs w:val="18"/>
          <w:lang w:eastAsia="en-US"/>
        </w:rPr>
      </w:pPr>
      <w:r>
        <w:rPr>
          <w:rFonts w:eastAsia="Calibri"/>
          <w:color w:val="43CEFF"/>
          <w:szCs w:val="18"/>
          <w:lang w:eastAsia="en-US"/>
        </w:rPr>
        <w:br w:type="page"/>
      </w:r>
    </w:p>
    <w:p w14:paraId="2F4A0076" w14:textId="77777777" w:rsidR="005A451C" w:rsidRPr="005A451C" w:rsidRDefault="005A451C" w:rsidP="005A451C">
      <w:pPr>
        <w:spacing w:after="120"/>
        <w:contextualSpacing/>
        <w:rPr>
          <w:rFonts w:eastAsia="Calibri"/>
          <w:color w:val="43CEFF"/>
          <w:szCs w:val="18"/>
          <w:lang w:eastAsia="en-US"/>
        </w:rPr>
      </w:pPr>
    </w:p>
    <w:p w14:paraId="45007081" w14:textId="77777777" w:rsidR="005A451C" w:rsidRPr="005A451C" w:rsidRDefault="005A451C" w:rsidP="005A451C">
      <w:pPr>
        <w:pBdr>
          <w:top w:val="single" w:sz="4" w:space="1" w:color="auto"/>
          <w:left w:val="single" w:sz="4" w:space="4" w:color="auto"/>
          <w:bottom w:val="single" w:sz="4" w:space="1" w:color="auto"/>
          <w:right w:val="single" w:sz="4" w:space="4" w:color="auto"/>
        </w:pBdr>
        <w:spacing w:after="120"/>
        <w:ind w:left="284" w:hanging="284"/>
        <w:rPr>
          <w:rFonts w:ascii="Verdana" w:eastAsia="Calibri" w:hAnsi="Verdana"/>
          <w:b/>
          <w:color w:val="43CEFF"/>
          <w:sz w:val="20"/>
          <w:szCs w:val="20"/>
          <w:lang w:eastAsia="en-US"/>
        </w:rPr>
      </w:pPr>
      <w:r w:rsidRPr="005A451C">
        <w:rPr>
          <w:rFonts w:ascii="Verdana" w:eastAsia="Calibri" w:hAnsi="Verdana"/>
          <w:b/>
          <w:color w:val="43CEFF"/>
          <w:sz w:val="20"/>
          <w:szCs w:val="20"/>
          <w:lang w:eastAsia="en-US"/>
        </w:rPr>
        <w:t>Observaciones a la o el docente</w:t>
      </w:r>
    </w:p>
    <w:p w14:paraId="3CE8E333" w14:textId="77777777" w:rsidR="005A451C" w:rsidRPr="005A451C" w:rsidRDefault="005A451C" w:rsidP="005A451C">
      <w:pPr>
        <w:pBdr>
          <w:top w:val="single" w:sz="4" w:space="1" w:color="auto"/>
          <w:left w:val="single" w:sz="4" w:space="4" w:color="auto"/>
          <w:bottom w:val="single" w:sz="4" w:space="1" w:color="auto"/>
          <w:right w:val="single" w:sz="4" w:space="4" w:color="auto"/>
        </w:pBdr>
        <w:spacing w:after="120"/>
        <w:rPr>
          <w:rFonts w:ascii="Verdana" w:eastAsia="Calibri" w:hAnsi="Verdana"/>
          <w:sz w:val="20"/>
          <w:szCs w:val="20"/>
          <w:lang w:eastAsia="en-US"/>
        </w:rPr>
      </w:pPr>
      <w:r w:rsidRPr="005A451C">
        <w:rPr>
          <w:rFonts w:ascii="Verdana" w:eastAsia="Calibri" w:hAnsi="Verdana"/>
          <w:sz w:val="20"/>
          <w:szCs w:val="20"/>
          <w:lang w:eastAsia="en-US"/>
        </w:rPr>
        <w:t>Para el desarrollo de esta actividad, puede comenzar por situar los conceptos de región y de territorio como categorías de análisis fundamentales para abordar la geografía política.</w:t>
      </w:r>
    </w:p>
    <w:p w14:paraId="4D60E94D" w14:textId="77777777" w:rsidR="005A451C" w:rsidRPr="005A451C" w:rsidRDefault="005A451C" w:rsidP="005A451C">
      <w:pPr>
        <w:pBdr>
          <w:top w:val="single" w:sz="4" w:space="1" w:color="auto"/>
          <w:left w:val="single" w:sz="4" w:space="4" w:color="auto"/>
          <w:bottom w:val="single" w:sz="4" w:space="1" w:color="auto"/>
          <w:right w:val="single" w:sz="4" w:space="4" w:color="auto"/>
        </w:pBdr>
        <w:spacing w:after="120"/>
        <w:rPr>
          <w:rFonts w:ascii="Verdana" w:eastAsia="Calibri" w:hAnsi="Verdana"/>
          <w:sz w:val="20"/>
          <w:szCs w:val="20"/>
          <w:lang w:eastAsia="en-US"/>
        </w:rPr>
      </w:pPr>
      <w:r w:rsidRPr="005A451C">
        <w:rPr>
          <w:rFonts w:ascii="Verdana" w:eastAsia="Calibri" w:hAnsi="Verdana"/>
          <w:sz w:val="20"/>
          <w:szCs w:val="20"/>
          <w:lang w:eastAsia="en-US"/>
        </w:rPr>
        <w:t xml:space="preserve">Al comenzar el trabajo, rescate los conocimientos previos de las y los estudiantes como base para construir el análisis espacial propuesto. A partir de este diagnóstico, quizás requiera reforzar algunos aspectos territoriales asociados al Tahuantinsuyo o al periodo colonial, por lo que sería recomendable trabajar primero con cada mapa por separado, para posteriormente abordar el análisis comparativo. </w:t>
      </w:r>
    </w:p>
    <w:p w14:paraId="19E31DA5" w14:textId="77777777" w:rsidR="005A451C" w:rsidRPr="005A451C" w:rsidRDefault="005A451C" w:rsidP="005A451C">
      <w:pPr>
        <w:pBdr>
          <w:top w:val="single" w:sz="4" w:space="1" w:color="auto"/>
          <w:left w:val="single" w:sz="4" w:space="4" w:color="auto"/>
          <w:bottom w:val="single" w:sz="4" w:space="1" w:color="auto"/>
          <w:right w:val="single" w:sz="4" w:space="4" w:color="auto"/>
        </w:pBdr>
        <w:spacing w:after="120"/>
        <w:rPr>
          <w:rFonts w:ascii="Verdana" w:eastAsia="Calibri" w:hAnsi="Verdana"/>
          <w:sz w:val="20"/>
          <w:szCs w:val="20"/>
          <w:lang w:eastAsia="en-US"/>
        </w:rPr>
      </w:pPr>
      <w:r w:rsidRPr="005A451C">
        <w:rPr>
          <w:rFonts w:ascii="Verdana" w:eastAsia="Calibri" w:hAnsi="Verdana"/>
          <w:sz w:val="20"/>
          <w:szCs w:val="20"/>
          <w:lang w:eastAsia="en-US"/>
        </w:rPr>
        <w:t xml:space="preserve">Al analizar el Tahuantinsuyo, puede volver a revisar con el curso las lógicas de dominación del territorio y su gente aplicadas por el incanato, destacando que la hegemonía inca se instala sobre los territorios de otros pueblos. </w:t>
      </w:r>
    </w:p>
    <w:p w14:paraId="38F50148" w14:textId="77777777" w:rsidR="005A451C" w:rsidRPr="005A451C" w:rsidRDefault="005A451C" w:rsidP="005A451C">
      <w:pPr>
        <w:pBdr>
          <w:top w:val="single" w:sz="4" w:space="1" w:color="auto"/>
          <w:left w:val="single" w:sz="4" w:space="4" w:color="auto"/>
          <w:bottom w:val="single" w:sz="4" w:space="1" w:color="auto"/>
          <w:right w:val="single" w:sz="4" w:space="4" w:color="auto"/>
        </w:pBdr>
        <w:spacing w:after="120"/>
        <w:rPr>
          <w:rFonts w:ascii="Verdana" w:eastAsia="Calibri" w:hAnsi="Verdana"/>
          <w:sz w:val="20"/>
          <w:szCs w:val="20"/>
          <w:lang w:eastAsia="en-US"/>
        </w:rPr>
      </w:pPr>
      <w:r w:rsidRPr="005A451C">
        <w:rPr>
          <w:rFonts w:ascii="Verdana" w:eastAsia="Calibri" w:hAnsi="Verdana"/>
          <w:sz w:val="20"/>
          <w:szCs w:val="20"/>
          <w:lang w:eastAsia="en-US"/>
        </w:rPr>
        <w:t xml:space="preserve">Se sugiere complementar la actividad con ejemplos del presente, como las ferias aymaras que se realizan actualmente en la fronteras chilena, peruana y boliviana, tal como se observa en el video </w:t>
      </w:r>
      <w:r w:rsidRPr="005A451C">
        <w:rPr>
          <w:rFonts w:ascii="Verdana" w:eastAsia="Calibri" w:hAnsi="Verdana"/>
          <w:i/>
          <w:sz w:val="20"/>
          <w:szCs w:val="20"/>
          <w:lang w:eastAsia="en-US"/>
        </w:rPr>
        <w:t xml:space="preserve">Economía y comercio tradicional del mundo aymara </w:t>
      </w:r>
      <w:r w:rsidRPr="005A451C">
        <w:rPr>
          <w:rFonts w:ascii="Verdana" w:eastAsia="Calibri" w:hAnsi="Verdana"/>
          <w:sz w:val="20"/>
          <w:szCs w:val="20"/>
          <w:lang w:eastAsia="en-US"/>
        </w:rPr>
        <w:t>(</w:t>
      </w:r>
      <w:hyperlink r:id="rId6" w:history="1">
        <w:r w:rsidRPr="005A451C">
          <w:rPr>
            <w:rStyle w:val="Hipervnculo"/>
            <w:rFonts w:ascii="Verdana" w:eastAsia="Calibri" w:hAnsi="Verdana"/>
            <w:sz w:val="20"/>
            <w:szCs w:val="20"/>
            <w:lang w:eastAsia="en-US"/>
          </w:rPr>
          <w:t>https://www.youtube.com/watch?v=0WtZiasUc0s</w:t>
        </w:r>
      </w:hyperlink>
      <w:r w:rsidRPr="005A451C">
        <w:rPr>
          <w:rFonts w:ascii="Verdana" w:eastAsia="Calibri" w:hAnsi="Verdana"/>
          <w:sz w:val="20"/>
          <w:szCs w:val="20"/>
          <w:lang w:eastAsia="en-US"/>
        </w:rPr>
        <w:t>).</w:t>
      </w:r>
    </w:p>
    <w:p w14:paraId="2A3F05CB" w14:textId="77777777" w:rsidR="005A451C" w:rsidRDefault="005A451C" w:rsidP="005A451C">
      <w:pPr>
        <w:rPr>
          <w:rFonts w:eastAsia="Calibri"/>
          <w:szCs w:val="18"/>
          <w:lang w:eastAsia="en-US"/>
        </w:rPr>
      </w:pPr>
    </w:p>
    <w:p w14:paraId="4ECE0008" w14:textId="77777777" w:rsidR="005A451C" w:rsidRPr="005A451C" w:rsidRDefault="005A451C" w:rsidP="005A451C">
      <w:pPr>
        <w:rPr>
          <w:rFonts w:eastAsia="Calibri"/>
          <w:szCs w:val="18"/>
          <w:lang w:eastAsia="en-US"/>
        </w:rPr>
      </w:pPr>
    </w:p>
    <w:p w14:paraId="4FE41117" w14:textId="77777777" w:rsidR="005A451C" w:rsidRPr="005A451C" w:rsidRDefault="005A451C" w:rsidP="005A451C">
      <w:pPr>
        <w:rPr>
          <w:rFonts w:eastAsia="Calibri"/>
          <w:szCs w:val="18"/>
          <w:lang w:eastAsia="en-US"/>
        </w:rPr>
      </w:pPr>
    </w:p>
    <w:p w14:paraId="7B70858E" w14:textId="77777777" w:rsidR="005A451C" w:rsidRPr="00E233D8" w:rsidRDefault="005A451C" w:rsidP="005A451C">
      <w:pPr>
        <w:tabs>
          <w:tab w:val="left" w:pos="1485"/>
        </w:tabs>
        <w:rPr>
          <w:color w:val="7CEDFC"/>
          <w:sz w:val="20"/>
          <w:szCs w:val="20"/>
        </w:rPr>
      </w:pPr>
      <w:r>
        <w:rPr>
          <w:rFonts w:eastAsia="Calibri"/>
          <w:szCs w:val="18"/>
          <w:lang w:eastAsia="en-US"/>
        </w:rPr>
        <w:tab/>
      </w:r>
    </w:p>
    <w:sectPr w:rsidR="005A451C" w:rsidRPr="00E23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01B8"/>
    <w:multiLevelType w:val="hybridMultilevel"/>
    <w:tmpl w:val="A538DA2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2579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D6"/>
    <w:rsid w:val="00250333"/>
    <w:rsid w:val="002A409E"/>
    <w:rsid w:val="002C0ABD"/>
    <w:rsid w:val="003432B3"/>
    <w:rsid w:val="003E3644"/>
    <w:rsid w:val="00523CBD"/>
    <w:rsid w:val="00561565"/>
    <w:rsid w:val="005A274C"/>
    <w:rsid w:val="005A451C"/>
    <w:rsid w:val="00601911"/>
    <w:rsid w:val="007D15C8"/>
    <w:rsid w:val="00932ED6"/>
    <w:rsid w:val="009F00A6"/>
    <w:rsid w:val="009F5DA1"/>
    <w:rsid w:val="00D72BA9"/>
    <w:rsid w:val="00D820E4"/>
    <w:rsid w:val="00E233D8"/>
    <w:rsid w:val="00ED1974"/>
    <w:rsid w:val="00FE4E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AD9D"/>
  <w15:chartTrackingRefBased/>
  <w15:docId w15:val="{1F27E3BD-7D20-4373-8071-E3B4F3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51C"/>
    <w:pPr>
      <w:spacing w:line="276" w:lineRule="auto"/>
      <w:ind w:left="720"/>
      <w:contextualSpacing/>
      <w:jc w:val="both"/>
    </w:pPr>
    <w:rPr>
      <w:rFonts w:ascii="Verdana" w:hAnsi="Verdana"/>
      <w:sz w:val="18"/>
    </w:rPr>
  </w:style>
  <w:style w:type="character" w:styleId="Refdecomentario">
    <w:name w:val="annotation reference"/>
    <w:basedOn w:val="Fuentedeprrafopredeter"/>
    <w:uiPriority w:val="99"/>
    <w:unhideWhenUsed/>
    <w:rsid w:val="005A451C"/>
    <w:rPr>
      <w:sz w:val="16"/>
      <w:szCs w:val="16"/>
    </w:rPr>
  </w:style>
  <w:style w:type="paragraph" w:styleId="Textocomentario">
    <w:name w:val="annotation text"/>
    <w:basedOn w:val="Normal"/>
    <w:link w:val="TextocomentarioCar"/>
    <w:uiPriority w:val="99"/>
    <w:unhideWhenUsed/>
    <w:rsid w:val="005A451C"/>
    <w:pPr>
      <w:spacing w:line="276" w:lineRule="auto"/>
      <w:jc w:val="both"/>
    </w:pPr>
    <w:rPr>
      <w:rFonts w:ascii="Verdana" w:hAnsi="Verdana"/>
      <w:sz w:val="20"/>
      <w:szCs w:val="20"/>
    </w:rPr>
  </w:style>
  <w:style w:type="character" w:customStyle="1" w:styleId="TextocomentarioCar">
    <w:name w:val="Texto comentario Car"/>
    <w:basedOn w:val="Fuentedeprrafopredeter"/>
    <w:link w:val="Textocomentario"/>
    <w:uiPriority w:val="99"/>
    <w:rsid w:val="005A451C"/>
    <w:rPr>
      <w:rFonts w:ascii="Verdana" w:eastAsia="Times New Roman" w:hAnsi="Verdana" w:cs="Times New Roman"/>
      <w:sz w:val="20"/>
      <w:szCs w:val="20"/>
      <w:lang w:val="es-ES" w:eastAsia="es-ES"/>
    </w:rPr>
  </w:style>
  <w:style w:type="table" w:customStyle="1" w:styleId="Tablaconcuadrcula6">
    <w:name w:val="Tabla con cuadrícula6"/>
    <w:basedOn w:val="Tablanormal"/>
    <w:next w:val="Tablaconcuadrcula"/>
    <w:uiPriority w:val="59"/>
    <w:rsid w:val="005A45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A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5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51C"/>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5A451C"/>
    <w:rPr>
      <w:color w:val="0563C1" w:themeColor="hyperlink"/>
      <w:u w:val="single"/>
    </w:rPr>
  </w:style>
  <w:style w:type="character" w:styleId="Mencinsinresolver">
    <w:name w:val="Unresolved Mention"/>
    <w:basedOn w:val="Fuentedeprrafopredeter"/>
    <w:uiPriority w:val="99"/>
    <w:semiHidden/>
    <w:unhideWhenUsed/>
    <w:rsid w:val="005A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WtZiasUc0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Fernando Luis Vera Briceño</cp:lastModifiedBy>
  <cp:revision>5</cp:revision>
  <cp:lastPrinted>2022-11-23T18:16:00Z</cp:lastPrinted>
  <dcterms:created xsi:type="dcterms:W3CDTF">2019-02-13T16:39:00Z</dcterms:created>
  <dcterms:modified xsi:type="dcterms:W3CDTF">2022-11-23T18:21:00Z</dcterms:modified>
</cp:coreProperties>
</file>