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5645" w14:textId="41626E9A" w:rsidR="00A80359" w:rsidRDefault="00A80359" w:rsidP="00A80359">
      <w:pPr>
        <w:autoSpaceDE w:val="0"/>
        <w:autoSpaceDN w:val="0"/>
        <w:adjustRightInd w:val="0"/>
        <w:rPr>
          <w:rFonts w:ascii="Verdana" w:hAnsi="Verdana"/>
          <w:color w:val="10E0C7"/>
          <w:sz w:val="22"/>
          <w:szCs w:val="22"/>
        </w:rPr>
      </w:pPr>
      <w:r w:rsidRPr="000E008B">
        <w:rPr>
          <w:rFonts w:ascii="Verdana" w:eastAsiaTheme="minorHAnsi" w:hAnsi="Verdana" w:cs="OfficinaSans-Bold"/>
          <w:bCs/>
          <w:color w:val="10E0C7"/>
          <w:sz w:val="22"/>
          <w:szCs w:val="22"/>
          <w:lang w:val="es-CL" w:eastAsia="en-US"/>
        </w:rPr>
        <w:t xml:space="preserve">Historia, Geografía y Ciencias Sociales </w:t>
      </w:r>
      <w:r w:rsidRPr="000E008B">
        <w:rPr>
          <w:rFonts w:ascii="Verdana" w:hAnsi="Verdana"/>
          <w:color w:val="10E0C7"/>
          <w:sz w:val="22"/>
          <w:szCs w:val="22"/>
        </w:rPr>
        <w:t>1º medio / Unidad 3 / OA</w:t>
      </w:r>
      <w:r w:rsidR="008D1AAD">
        <w:rPr>
          <w:rFonts w:ascii="Verdana" w:hAnsi="Verdana"/>
          <w:color w:val="10E0C7"/>
          <w:sz w:val="22"/>
          <w:szCs w:val="22"/>
        </w:rPr>
        <w:t>24</w:t>
      </w:r>
      <w:r w:rsidRPr="000E008B">
        <w:rPr>
          <w:rFonts w:ascii="Verdana" w:hAnsi="Verdana"/>
          <w:color w:val="10E0C7"/>
          <w:sz w:val="22"/>
          <w:szCs w:val="22"/>
        </w:rPr>
        <w:t xml:space="preserve">/ Actividad </w:t>
      </w:r>
      <w:r w:rsidR="004037AF">
        <w:rPr>
          <w:rFonts w:ascii="Verdana" w:hAnsi="Verdana"/>
          <w:color w:val="10E0C7"/>
          <w:sz w:val="22"/>
          <w:szCs w:val="22"/>
        </w:rPr>
        <w:t>2</w:t>
      </w:r>
    </w:p>
    <w:p w14:paraId="7839EA60" w14:textId="60E15C4F" w:rsidR="008A4C60" w:rsidRDefault="008A4C60" w:rsidP="00A80359">
      <w:pPr>
        <w:autoSpaceDE w:val="0"/>
        <w:autoSpaceDN w:val="0"/>
        <w:adjustRightInd w:val="0"/>
        <w:rPr>
          <w:rFonts w:ascii="Verdana" w:hAnsi="Verdana"/>
          <w:color w:val="10E0C7"/>
          <w:sz w:val="22"/>
          <w:szCs w:val="22"/>
        </w:rPr>
      </w:pPr>
    </w:p>
    <w:p w14:paraId="7C9CA62B" w14:textId="77777777" w:rsidR="008A4C60" w:rsidRPr="008A4C60" w:rsidRDefault="008A4C60" w:rsidP="008A4C60">
      <w:pPr>
        <w:spacing w:after="120"/>
        <w:ind w:left="426" w:hanging="426"/>
        <w:rPr>
          <w:rFonts w:ascii="Verdana" w:hAnsi="Verdana"/>
          <w:sz w:val="20"/>
          <w:szCs w:val="20"/>
        </w:rPr>
      </w:pPr>
      <w:r w:rsidRPr="008A4C60">
        <w:rPr>
          <w:rFonts w:ascii="Verdana" w:hAnsi="Verdana"/>
          <w:sz w:val="20"/>
          <w:szCs w:val="20"/>
        </w:rPr>
        <w:t>2.</w:t>
      </w:r>
      <w:r w:rsidRPr="008A4C60">
        <w:rPr>
          <w:rFonts w:ascii="Verdana" w:hAnsi="Verdana"/>
          <w:sz w:val="20"/>
          <w:szCs w:val="20"/>
        </w:rPr>
        <w:tab/>
        <w:t xml:space="preserve">Las y los estudiantes comentan la siguiente cita de la directora general de la Unesco: </w:t>
      </w:r>
    </w:p>
    <w:p w14:paraId="209FC2E6" w14:textId="77777777" w:rsidR="008A4C60" w:rsidRPr="008A4C60" w:rsidRDefault="008A4C60" w:rsidP="008A4C60">
      <w:pPr>
        <w:ind w:left="426"/>
        <w:rPr>
          <w:rFonts w:ascii="Verdana" w:hAnsi="Verdana"/>
          <w:sz w:val="20"/>
          <w:szCs w:val="20"/>
        </w:rPr>
      </w:pPr>
      <w:r w:rsidRPr="008A4C60">
        <w:rPr>
          <w:rFonts w:ascii="Verdana" w:hAnsi="Verdana"/>
          <w:sz w:val="20"/>
          <w:szCs w:val="20"/>
        </w:rPr>
        <w:t>“En un mundo tan diverso, la destrucción de las culturas es un crimen y la uniformidad un callejón sin salida: todo estriba en valorizar, en un mismo impulso, la diversidad que nos enriquece y los derechos humanos que nos reúnen”.</w:t>
      </w:r>
    </w:p>
    <w:p w14:paraId="2C04AE06" w14:textId="1E4B0999" w:rsidR="008A4C60" w:rsidRPr="008A4C60" w:rsidRDefault="008A4C60" w:rsidP="008A4C60">
      <w:pPr>
        <w:ind w:left="426"/>
        <w:jc w:val="right"/>
        <w:rPr>
          <w:rFonts w:ascii="Verdana" w:hAnsi="Verdana"/>
          <w:b/>
          <w:sz w:val="20"/>
          <w:szCs w:val="20"/>
        </w:rPr>
      </w:pPr>
      <w:r>
        <w:rPr>
          <w:rFonts w:ascii="Verdana" w:hAnsi="Verdana"/>
          <w:sz w:val="20"/>
          <w:szCs w:val="20"/>
        </w:rPr>
        <w:br/>
      </w:r>
      <w:r w:rsidRPr="008A4C60">
        <w:rPr>
          <w:rFonts w:ascii="Verdana" w:hAnsi="Verdana"/>
          <w:b/>
          <w:sz w:val="20"/>
          <w:szCs w:val="20"/>
        </w:rPr>
        <w:t>Irina Bokova, directora general de la Unesco.</w:t>
      </w:r>
    </w:p>
    <w:p w14:paraId="4A94E60F" w14:textId="77777777" w:rsidR="008A4C60" w:rsidRPr="008A4C60" w:rsidRDefault="008A4C60" w:rsidP="008A4C60">
      <w:pPr>
        <w:ind w:left="426"/>
        <w:rPr>
          <w:rFonts w:ascii="Verdana" w:hAnsi="Verdana"/>
          <w:b/>
          <w:sz w:val="20"/>
          <w:szCs w:val="20"/>
        </w:rPr>
      </w:pPr>
    </w:p>
    <w:p w14:paraId="4D4AAB09" w14:textId="77777777" w:rsidR="008A4C60" w:rsidRPr="008A4C60" w:rsidRDefault="008A4C60" w:rsidP="008A4C60">
      <w:pPr>
        <w:spacing w:after="120"/>
        <w:ind w:left="426"/>
        <w:rPr>
          <w:rFonts w:ascii="Verdana" w:hAnsi="Verdana"/>
          <w:sz w:val="20"/>
          <w:szCs w:val="20"/>
        </w:rPr>
      </w:pPr>
      <w:r w:rsidRPr="008A4C60">
        <w:rPr>
          <w:rFonts w:ascii="Verdana" w:hAnsi="Verdana"/>
          <w:sz w:val="20"/>
          <w:szCs w:val="20"/>
        </w:rPr>
        <w:t>Con la mediación del o la docente, discuten los conceptos de diversidad y uniformidad, construyendo definiciones colectivas para ellos. A continuación, dan ejemplos sobre las diversidades presentes en su contexto escolar y local y aquellas que reconocen en el contexto nacional. Asimismo, a partir de la afirmación de la directora de la Unesco, que indica que la diversidad nos enriquece, discuten sobre el valor que dan a la diversidad, problematizando: ¿qué riquezas aportan las diversidades a la escuela, la localidad y el país? ¿Qué se requiere hacer como comunidad para reconocer e incorporar esas riquezas? ¿Qué desafíos existen en los espacios escolares o locales para la valoración de la diversidad?</w:t>
      </w:r>
    </w:p>
    <w:p w14:paraId="44904D17" w14:textId="3FBBE635" w:rsidR="008A4C60" w:rsidRPr="008A4C60" w:rsidRDefault="008A4C60" w:rsidP="008A4C60">
      <w:pPr>
        <w:ind w:left="426"/>
        <w:rPr>
          <w:rFonts w:ascii="Verdana" w:hAnsi="Verdana"/>
          <w:sz w:val="20"/>
          <w:szCs w:val="20"/>
        </w:rPr>
      </w:pPr>
      <w:r w:rsidRPr="008A4C60">
        <w:rPr>
          <w:rFonts w:ascii="Verdana" w:hAnsi="Verdana"/>
          <w:sz w:val="20"/>
          <w:szCs w:val="20"/>
        </w:rPr>
        <w:t xml:space="preserve">A continuación, diseñan una campaña de concientización que tiene como finalidad visibilizar la diversidad de su espacio escolar y local y promover su respeto y valoración. Para ello, organizan grupos y planifican su trabajo considerando: </w:t>
      </w:r>
      <w:r>
        <w:rPr>
          <w:rFonts w:ascii="Verdana" w:hAnsi="Verdana"/>
          <w:sz w:val="20"/>
          <w:szCs w:val="20"/>
        </w:rPr>
        <w:br/>
      </w:r>
    </w:p>
    <w:p w14:paraId="6EEA3682" w14:textId="331D3943" w:rsidR="008A4C60" w:rsidRPr="008A4C60" w:rsidRDefault="008A4C60" w:rsidP="008A4C60">
      <w:pPr>
        <w:pStyle w:val="Prrafodelista"/>
        <w:numPr>
          <w:ilvl w:val="0"/>
          <w:numId w:val="1"/>
        </w:numPr>
        <w:spacing w:after="120"/>
        <w:ind w:left="993" w:hanging="284"/>
        <w:jc w:val="left"/>
        <w:rPr>
          <w:sz w:val="20"/>
          <w:szCs w:val="20"/>
        </w:rPr>
      </w:pPr>
      <w:r w:rsidRPr="008A4C60">
        <w:rPr>
          <w:sz w:val="20"/>
          <w:szCs w:val="20"/>
        </w:rPr>
        <w:t>La identificació</w:t>
      </w:r>
      <w:bookmarkStart w:id="0" w:name="_GoBack"/>
      <w:bookmarkEnd w:id="0"/>
      <w:r w:rsidRPr="008A4C60">
        <w:rPr>
          <w:sz w:val="20"/>
          <w:szCs w:val="20"/>
        </w:rPr>
        <w:t xml:space="preserve">n del público al que orientarán su campaña. </w:t>
      </w:r>
      <w:r>
        <w:rPr>
          <w:sz w:val="20"/>
          <w:szCs w:val="20"/>
        </w:rPr>
        <w:br/>
      </w:r>
    </w:p>
    <w:p w14:paraId="2A39FA2F" w14:textId="032A8DB8" w:rsidR="008A4C60" w:rsidRPr="008A4C60" w:rsidRDefault="008A4C60" w:rsidP="008A4C60">
      <w:pPr>
        <w:pStyle w:val="Prrafodelista"/>
        <w:numPr>
          <w:ilvl w:val="0"/>
          <w:numId w:val="1"/>
        </w:numPr>
        <w:spacing w:after="120"/>
        <w:ind w:left="993" w:hanging="284"/>
        <w:jc w:val="left"/>
        <w:rPr>
          <w:sz w:val="20"/>
          <w:szCs w:val="20"/>
        </w:rPr>
      </w:pPr>
      <w:r w:rsidRPr="008A4C60">
        <w:rPr>
          <w:sz w:val="20"/>
          <w:szCs w:val="20"/>
        </w:rPr>
        <w:t xml:space="preserve">La propuesta de objetivos específicos por lograr con la campaña. </w:t>
      </w:r>
      <w:r>
        <w:rPr>
          <w:sz w:val="20"/>
          <w:szCs w:val="20"/>
        </w:rPr>
        <w:br/>
      </w:r>
    </w:p>
    <w:p w14:paraId="0D3FB8B7" w14:textId="128B8AAD" w:rsidR="008A4C60" w:rsidRPr="008A4C60" w:rsidRDefault="008A4C60" w:rsidP="008A4C60">
      <w:pPr>
        <w:pStyle w:val="Prrafodelista"/>
        <w:numPr>
          <w:ilvl w:val="0"/>
          <w:numId w:val="1"/>
        </w:numPr>
        <w:spacing w:after="120"/>
        <w:ind w:left="993" w:hanging="284"/>
        <w:jc w:val="left"/>
        <w:rPr>
          <w:sz w:val="20"/>
          <w:szCs w:val="20"/>
        </w:rPr>
      </w:pPr>
      <w:r w:rsidRPr="008A4C60">
        <w:rPr>
          <w:sz w:val="20"/>
          <w:szCs w:val="20"/>
        </w:rPr>
        <w:t xml:space="preserve">La construcción de un mensaje y de argumentos sólidos que permitan sostenerlo. </w:t>
      </w:r>
      <w:r>
        <w:rPr>
          <w:sz w:val="20"/>
          <w:szCs w:val="20"/>
        </w:rPr>
        <w:br/>
      </w:r>
    </w:p>
    <w:p w14:paraId="609DFD93" w14:textId="0E53BAE0" w:rsidR="008A4C60" w:rsidRPr="008A4C60" w:rsidRDefault="008A4C60" w:rsidP="008A4C60">
      <w:pPr>
        <w:pStyle w:val="Prrafodelista"/>
        <w:numPr>
          <w:ilvl w:val="0"/>
          <w:numId w:val="1"/>
        </w:numPr>
        <w:spacing w:after="120"/>
        <w:ind w:left="993" w:hanging="284"/>
        <w:jc w:val="left"/>
        <w:rPr>
          <w:sz w:val="20"/>
          <w:szCs w:val="20"/>
        </w:rPr>
      </w:pPr>
      <w:r w:rsidRPr="008A4C60">
        <w:rPr>
          <w:sz w:val="20"/>
          <w:szCs w:val="20"/>
        </w:rPr>
        <w:t>El planeamiento general de la campaña, considerando los materiales requeridos y los tiempos de realización.</w:t>
      </w:r>
      <w:r>
        <w:rPr>
          <w:sz w:val="20"/>
          <w:szCs w:val="20"/>
        </w:rPr>
        <w:br/>
      </w:r>
    </w:p>
    <w:p w14:paraId="2815D9FA" w14:textId="3D34CFB2" w:rsidR="008A4C60" w:rsidRPr="008A4C60" w:rsidRDefault="008A4C60" w:rsidP="008A4C60">
      <w:pPr>
        <w:pStyle w:val="Prrafodelista"/>
        <w:numPr>
          <w:ilvl w:val="0"/>
          <w:numId w:val="1"/>
        </w:numPr>
        <w:spacing w:after="120"/>
        <w:ind w:left="993" w:hanging="284"/>
        <w:jc w:val="left"/>
        <w:rPr>
          <w:sz w:val="20"/>
          <w:szCs w:val="20"/>
        </w:rPr>
      </w:pPr>
      <w:r w:rsidRPr="008A4C60">
        <w:rPr>
          <w:sz w:val="20"/>
          <w:szCs w:val="20"/>
        </w:rPr>
        <w:t>La elaboración de los materiales (afiches, dípticos, audiovisuales, otros).</w:t>
      </w:r>
      <w:r>
        <w:rPr>
          <w:sz w:val="20"/>
          <w:szCs w:val="20"/>
        </w:rPr>
        <w:br/>
      </w:r>
    </w:p>
    <w:p w14:paraId="69582309" w14:textId="77777777" w:rsidR="008A4C60" w:rsidRPr="008A4C60" w:rsidRDefault="008A4C60" w:rsidP="008A4C60">
      <w:pPr>
        <w:pStyle w:val="Prrafodelista"/>
        <w:numPr>
          <w:ilvl w:val="0"/>
          <w:numId w:val="1"/>
        </w:numPr>
        <w:ind w:left="993" w:hanging="284"/>
        <w:jc w:val="left"/>
        <w:rPr>
          <w:sz w:val="20"/>
          <w:szCs w:val="20"/>
        </w:rPr>
      </w:pPr>
      <w:r w:rsidRPr="008A4C60">
        <w:rPr>
          <w:sz w:val="20"/>
          <w:szCs w:val="20"/>
        </w:rPr>
        <w:t xml:space="preserve">Los mecanismos para evaluar los resultados de la campaña. </w:t>
      </w:r>
    </w:p>
    <w:p w14:paraId="7544FA97" w14:textId="77777777" w:rsidR="008A4C60" w:rsidRPr="008A4C60" w:rsidRDefault="008A4C60" w:rsidP="008A4C60">
      <w:pPr>
        <w:rPr>
          <w:rFonts w:ascii="Verdana" w:hAnsi="Verdana"/>
          <w:b/>
          <w:sz w:val="20"/>
          <w:szCs w:val="20"/>
        </w:rPr>
      </w:pPr>
    </w:p>
    <w:p w14:paraId="724E6964" w14:textId="77777777" w:rsidR="008A4C60" w:rsidRPr="008A4C60" w:rsidRDefault="008A4C60" w:rsidP="008A4C60">
      <w:pPr>
        <w:rPr>
          <w:rFonts w:ascii="Verdana" w:hAnsi="Verdana"/>
          <w:b/>
          <w:sz w:val="20"/>
          <w:szCs w:val="20"/>
        </w:rPr>
      </w:pPr>
    </w:p>
    <w:p w14:paraId="452E08F4" w14:textId="77777777" w:rsidR="008A4C60" w:rsidRPr="008A4C60" w:rsidRDefault="008A4C60" w:rsidP="008A4C60">
      <w:pPr>
        <w:pBdr>
          <w:top w:val="single" w:sz="4" w:space="1" w:color="auto"/>
          <w:left w:val="single" w:sz="4" w:space="4" w:color="auto"/>
          <w:bottom w:val="single" w:sz="4" w:space="1" w:color="auto"/>
          <w:right w:val="single" w:sz="4" w:space="23" w:color="auto"/>
        </w:pBdr>
        <w:spacing w:after="120"/>
        <w:ind w:left="284" w:hanging="284"/>
        <w:rPr>
          <w:rFonts w:ascii="Verdana" w:hAnsi="Verdana"/>
          <w:b/>
          <w:color w:val="00B0F0"/>
          <w:sz w:val="20"/>
          <w:szCs w:val="20"/>
        </w:rPr>
      </w:pPr>
      <w:r w:rsidRPr="008A4C60">
        <w:rPr>
          <w:rFonts w:ascii="Verdana" w:hAnsi="Verdana"/>
          <w:b/>
          <w:color w:val="00B0F0"/>
          <w:sz w:val="20"/>
          <w:szCs w:val="20"/>
        </w:rPr>
        <w:t>Observaciones a la o el docente</w:t>
      </w:r>
    </w:p>
    <w:p w14:paraId="121A5A93" w14:textId="77777777" w:rsidR="008A4C60" w:rsidRPr="008A4C60" w:rsidRDefault="008A4C60" w:rsidP="008A4C60">
      <w:pPr>
        <w:pBdr>
          <w:top w:val="single" w:sz="4" w:space="1" w:color="auto"/>
          <w:left w:val="single" w:sz="4" w:space="4" w:color="auto"/>
          <w:bottom w:val="single" w:sz="4" w:space="1" w:color="auto"/>
          <w:right w:val="single" w:sz="4" w:space="23" w:color="auto"/>
        </w:pBdr>
        <w:spacing w:after="120"/>
        <w:rPr>
          <w:rFonts w:ascii="Verdana" w:hAnsi="Verdana"/>
          <w:sz w:val="20"/>
          <w:szCs w:val="20"/>
        </w:rPr>
      </w:pPr>
      <w:r w:rsidRPr="008A4C60">
        <w:rPr>
          <w:rFonts w:ascii="Verdana" w:hAnsi="Verdana"/>
          <w:sz w:val="20"/>
          <w:szCs w:val="20"/>
        </w:rPr>
        <w:t>Al realizar la actividad, oriente la discusión hacia el reconocimiento de las múltiples diversidades que están presentes en los distintos contextos, tensionando las ideas que culturalmente se asocian a la normalidad o a la homogeneidad.</w:t>
      </w:r>
    </w:p>
    <w:p w14:paraId="18117C64" w14:textId="77777777" w:rsidR="008A4C60" w:rsidRPr="008A4C60" w:rsidRDefault="008A4C60" w:rsidP="008A4C60">
      <w:pPr>
        <w:pBdr>
          <w:top w:val="single" w:sz="4" w:space="1" w:color="auto"/>
          <w:left w:val="single" w:sz="4" w:space="4" w:color="auto"/>
          <w:bottom w:val="single" w:sz="4" w:space="1" w:color="auto"/>
          <w:right w:val="single" w:sz="4" w:space="23" w:color="auto"/>
        </w:pBdr>
        <w:spacing w:after="120"/>
        <w:rPr>
          <w:rFonts w:ascii="Verdana" w:hAnsi="Verdana"/>
          <w:sz w:val="20"/>
          <w:szCs w:val="20"/>
        </w:rPr>
      </w:pPr>
      <w:r w:rsidRPr="008A4C60">
        <w:rPr>
          <w:rFonts w:ascii="Verdana" w:hAnsi="Verdana"/>
          <w:sz w:val="20"/>
          <w:szCs w:val="20"/>
        </w:rPr>
        <w:t xml:space="preserve">En este caso, es importante la moderación de los espacios reflexivos, desnaturalizando prejuicios y temores que puedan tener las y los estudiantes al aludir a las diversidades presentes en sus contextos. Estas temáticas pueden resultar controversiales, por lo que es importante favorecer un ambiente de trabajo que facilite la libre expresión en el marco del respeto y la valoración por la dignidad de las personas y la igualdad de sus derechos. </w:t>
      </w:r>
    </w:p>
    <w:p w14:paraId="71DDCAA3" w14:textId="77777777" w:rsidR="008A4C60" w:rsidRPr="008A4C60" w:rsidRDefault="008A4C60" w:rsidP="008A4C60">
      <w:pPr>
        <w:pBdr>
          <w:top w:val="single" w:sz="4" w:space="1" w:color="auto"/>
          <w:left w:val="single" w:sz="4" w:space="4" w:color="auto"/>
          <w:bottom w:val="single" w:sz="4" w:space="1" w:color="auto"/>
          <w:right w:val="single" w:sz="4" w:space="23" w:color="auto"/>
        </w:pBdr>
        <w:spacing w:after="120"/>
        <w:rPr>
          <w:rFonts w:ascii="Verdana" w:hAnsi="Verdana"/>
          <w:sz w:val="20"/>
          <w:szCs w:val="20"/>
        </w:rPr>
      </w:pPr>
      <w:r w:rsidRPr="008A4C60">
        <w:rPr>
          <w:rFonts w:ascii="Verdana" w:hAnsi="Verdana"/>
          <w:sz w:val="20"/>
          <w:szCs w:val="20"/>
        </w:rPr>
        <w:lastRenderedPageBreak/>
        <w:t>En el desarrollo de la discusión, es importante generar los espacios para que las y los estudiantes efectivamente puedan reconocer el aporte de la diversidad en distintos ámbitos (económico, social, cultural, afectivo, artístico, entre otros), de modo que la campaña evidencie una efectiva valoración por las diversidades.</w:t>
      </w:r>
    </w:p>
    <w:p w14:paraId="64B3C5E6" w14:textId="00C2254A" w:rsidR="008A4C60" w:rsidRDefault="008A4C60" w:rsidP="008A4C60">
      <w:pPr>
        <w:pBdr>
          <w:top w:val="single" w:sz="4" w:space="1" w:color="auto"/>
          <w:left w:val="single" w:sz="4" w:space="4" w:color="auto"/>
          <w:bottom w:val="single" w:sz="4" w:space="1" w:color="auto"/>
          <w:right w:val="single" w:sz="4" w:space="23" w:color="auto"/>
        </w:pBdr>
        <w:spacing w:after="120"/>
        <w:rPr>
          <w:rFonts w:ascii="Verdana" w:hAnsi="Verdana"/>
          <w:sz w:val="20"/>
          <w:szCs w:val="20"/>
        </w:rPr>
      </w:pPr>
      <w:r w:rsidRPr="008A4C60">
        <w:rPr>
          <w:rFonts w:ascii="Verdana" w:hAnsi="Verdana"/>
          <w:sz w:val="20"/>
          <w:szCs w:val="20"/>
        </w:rPr>
        <w:t xml:space="preserve">En la orientación de esta actividad, puede trabajar fragmentos de la Declaración Universal de la Unesco sobre la Diversidad Cultural, disponible en: </w:t>
      </w:r>
      <w:hyperlink r:id="rId5" w:history="1">
        <w:r w:rsidRPr="00DA6352">
          <w:rPr>
            <w:rStyle w:val="Hipervnculo"/>
            <w:rFonts w:ascii="Verdana" w:hAnsi="Verdana"/>
            <w:sz w:val="20"/>
            <w:szCs w:val="20"/>
          </w:rPr>
          <w:t>http://unesdoc.unesco.org/images/0012/001271/127160m.pdf</w:t>
        </w:r>
      </w:hyperlink>
    </w:p>
    <w:p w14:paraId="65F3156E" w14:textId="77777777" w:rsidR="008A4C60" w:rsidRPr="008A4C60" w:rsidRDefault="008A4C60" w:rsidP="008A4C60">
      <w:pPr>
        <w:pBdr>
          <w:top w:val="single" w:sz="4" w:space="1" w:color="auto"/>
          <w:left w:val="single" w:sz="4" w:space="4" w:color="auto"/>
          <w:bottom w:val="single" w:sz="4" w:space="1" w:color="auto"/>
          <w:right w:val="single" w:sz="4" w:space="23" w:color="auto"/>
        </w:pBdr>
        <w:spacing w:after="120"/>
        <w:rPr>
          <w:rFonts w:ascii="Verdana" w:hAnsi="Verdana"/>
          <w:sz w:val="20"/>
          <w:szCs w:val="20"/>
        </w:rPr>
      </w:pPr>
    </w:p>
    <w:p w14:paraId="5FBBFDF7" w14:textId="77777777" w:rsidR="008A4C60" w:rsidRDefault="008A4C60" w:rsidP="008A4C60">
      <w:pPr>
        <w:rPr>
          <w:szCs w:val="18"/>
        </w:rPr>
      </w:pPr>
    </w:p>
    <w:p w14:paraId="409F3138" w14:textId="77777777" w:rsidR="008A4C60" w:rsidRPr="000E008B" w:rsidRDefault="008A4C60" w:rsidP="00A80359">
      <w:pPr>
        <w:autoSpaceDE w:val="0"/>
        <w:autoSpaceDN w:val="0"/>
        <w:adjustRightInd w:val="0"/>
        <w:rPr>
          <w:rFonts w:ascii="Verdana" w:hAnsi="Verdana"/>
          <w:color w:val="10E0C7"/>
          <w:sz w:val="22"/>
          <w:szCs w:val="22"/>
        </w:rPr>
      </w:pPr>
    </w:p>
    <w:p w14:paraId="7920BAF0" w14:textId="77777777" w:rsidR="004D03E5" w:rsidRPr="000E008B" w:rsidRDefault="004D03E5">
      <w:pPr>
        <w:rPr>
          <w:color w:val="00B0F0"/>
        </w:rPr>
      </w:pPr>
    </w:p>
    <w:sectPr w:rsidR="004D03E5" w:rsidRPr="000E00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D474D"/>
    <w:multiLevelType w:val="hybridMultilevel"/>
    <w:tmpl w:val="4C04A53C"/>
    <w:lvl w:ilvl="0" w:tplc="A3767E4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70"/>
    <w:rsid w:val="000B253C"/>
    <w:rsid w:val="000E008B"/>
    <w:rsid w:val="00221ACF"/>
    <w:rsid w:val="00223B21"/>
    <w:rsid w:val="003741BA"/>
    <w:rsid w:val="004037AF"/>
    <w:rsid w:val="004D03E5"/>
    <w:rsid w:val="0058199D"/>
    <w:rsid w:val="005E358B"/>
    <w:rsid w:val="007757F5"/>
    <w:rsid w:val="00815F96"/>
    <w:rsid w:val="008A4C60"/>
    <w:rsid w:val="008D1AAD"/>
    <w:rsid w:val="008F28D7"/>
    <w:rsid w:val="00A36F28"/>
    <w:rsid w:val="00A80359"/>
    <w:rsid w:val="00AD12B0"/>
    <w:rsid w:val="00AE58FE"/>
    <w:rsid w:val="00AF4B70"/>
    <w:rsid w:val="00D51B94"/>
    <w:rsid w:val="00DE3A9B"/>
    <w:rsid w:val="00E34172"/>
    <w:rsid w:val="00FB3C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AE7"/>
  <w15:chartTrackingRefBased/>
  <w15:docId w15:val="{2060681A-9CCE-4CBB-9990-B032F51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C60"/>
    <w:pPr>
      <w:spacing w:line="276" w:lineRule="auto"/>
      <w:ind w:left="720"/>
      <w:contextualSpacing/>
      <w:jc w:val="both"/>
    </w:pPr>
    <w:rPr>
      <w:rFonts w:ascii="Verdana" w:hAnsi="Verdana"/>
      <w:sz w:val="18"/>
    </w:rPr>
  </w:style>
  <w:style w:type="character" w:styleId="Hipervnculo">
    <w:name w:val="Hyperlink"/>
    <w:basedOn w:val="Fuentedeprrafopredeter"/>
    <w:uiPriority w:val="99"/>
    <w:unhideWhenUsed/>
    <w:rsid w:val="008A4C60"/>
    <w:rPr>
      <w:color w:val="0563C1" w:themeColor="hyperlink"/>
      <w:u w:val="single"/>
    </w:rPr>
  </w:style>
  <w:style w:type="character" w:styleId="Mencinsinresolver">
    <w:name w:val="Unresolved Mention"/>
    <w:basedOn w:val="Fuentedeprrafopredeter"/>
    <w:uiPriority w:val="99"/>
    <w:semiHidden/>
    <w:unhideWhenUsed/>
    <w:rsid w:val="008A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esdoc.unesco.org/images/0012/001271/127160m.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2019-03-20T15:17:00Z</dcterms:created>
  <dcterms:modified xsi:type="dcterms:W3CDTF">2019-03-20T16:02:00Z</dcterms:modified>
</cp:coreProperties>
</file>