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03606" w14:textId="3B69F774" w:rsidR="00EA4A48" w:rsidRDefault="00EA4A48" w:rsidP="00EA4A48">
      <w:pPr>
        <w:rPr>
          <w:rFonts w:ascii="Verdana" w:hAnsi="Verdana"/>
          <w:color w:val="00C85A"/>
          <w:sz w:val="24"/>
          <w:szCs w:val="24"/>
        </w:rPr>
      </w:pPr>
      <w:r>
        <w:rPr>
          <w:rFonts w:ascii="Verdana" w:hAnsi="Verdana"/>
          <w:color w:val="00C85A"/>
          <w:sz w:val="24"/>
          <w:szCs w:val="24"/>
        </w:rPr>
        <w:t xml:space="preserve">Ciencias Naturales </w:t>
      </w:r>
      <w:r w:rsidR="0068206C">
        <w:rPr>
          <w:rFonts w:ascii="Verdana" w:hAnsi="Verdana"/>
          <w:color w:val="00C85A"/>
          <w:sz w:val="24"/>
          <w:szCs w:val="24"/>
        </w:rPr>
        <w:t>–</w:t>
      </w:r>
      <w:r>
        <w:rPr>
          <w:rFonts w:ascii="Verdana" w:hAnsi="Verdana"/>
          <w:color w:val="00C85A"/>
          <w:sz w:val="24"/>
          <w:szCs w:val="24"/>
        </w:rPr>
        <w:t xml:space="preserve"> </w:t>
      </w:r>
      <w:r w:rsidR="0068206C">
        <w:rPr>
          <w:rFonts w:ascii="Verdana" w:hAnsi="Verdana"/>
          <w:color w:val="00C85A"/>
          <w:sz w:val="24"/>
          <w:szCs w:val="24"/>
        </w:rPr>
        <w:t>Qu</w:t>
      </w:r>
      <w:r w:rsidR="0068206C">
        <w:rPr>
          <w:rFonts w:ascii="Verdana" w:hAnsi="Verdana"/>
          <w:color w:val="00C85A"/>
          <w:sz w:val="24"/>
          <w:szCs w:val="24"/>
          <w:lang w:val="es-ES"/>
        </w:rPr>
        <w:t>í</w:t>
      </w:r>
      <w:r w:rsidR="0068206C">
        <w:rPr>
          <w:rFonts w:ascii="Verdana" w:hAnsi="Verdana"/>
          <w:color w:val="00C85A"/>
          <w:sz w:val="24"/>
          <w:szCs w:val="24"/>
        </w:rPr>
        <w:t>mica</w:t>
      </w:r>
      <w:r>
        <w:rPr>
          <w:rFonts w:ascii="Verdana" w:hAnsi="Verdana"/>
          <w:color w:val="00C85A"/>
          <w:sz w:val="24"/>
          <w:szCs w:val="24"/>
        </w:rPr>
        <w:t xml:space="preserve"> </w:t>
      </w:r>
      <w:r w:rsidR="0068206C">
        <w:rPr>
          <w:rFonts w:ascii="Verdana" w:hAnsi="Verdana"/>
          <w:color w:val="00C85A"/>
          <w:sz w:val="24"/>
          <w:szCs w:val="24"/>
        </w:rPr>
        <w:t>2</w:t>
      </w:r>
      <w:r>
        <w:rPr>
          <w:rFonts w:ascii="Verdana" w:hAnsi="Verdana"/>
          <w:color w:val="00C85A"/>
          <w:sz w:val="24"/>
          <w:szCs w:val="24"/>
        </w:rPr>
        <w:t>º medio / Unidad 4 / OA</w:t>
      </w:r>
      <w:r w:rsidR="00B847DF">
        <w:rPr>
          <w:rFonts w:ascii="Verdana" w:hAnsi="Verdana"/>
          <w:color w:val="00C85A"/>
          <w:sz w:val="24"/>
          <w:szCs w:val="24"/>
        </w:rPr>
        <w:t>1</w:t>
      </w:r>
      <w:r>
        <w:rPr>
          <w:rFonts w:ascii="Verdana" w:hAnsi="Verdana"/>
          <w:color w:val="00C85A"/>
          <w:sz w:val="24"/>
          <w:szCs w:val="24"/>
        </w:rPr>
        <w:t xml:space="preserve">8 / Actividad </w:t>
      </w:r>
      <w:r w:rsidR="004B4AE6">
        <w:rPr>
          <w:rFonts w:ascii="Verdana" w:hAnsi="Verdana"/>
          <w:color w:val="00C85A"/>
          <w:sz w:val="24"/>
          <w:szCs w:val="24"/>
        </w:rPr>
        <w:t>5</w:t>
      </w:r>
    </w:p>
    <w:p w14:paraId="5203C601" w14:textId="75CFE73B" w:rsidR="003C455B" w:rsidRDefault="003C455B" w:rsidP="00EA4A48">
      <w:pPr>
        <w:rPr>
          <w:rFonts w:ascii="Verdana" w:hAnsi="Verdana"/>
          <w:color w:val="00C85A"/>
          <w:sz w:val="24"/>
          <w:szCs w:val="24"/>
        </w:rPr>
      </w:pPr>
    </w:p>
    <w:tbl>
      <w:tblPr>
        <w:tblW w:w="9354" w:type="dxa"/>
        <w:jc w:val="center"/>
        <w:tblLayout w:type="fixed"/>
        <w:tblLook w:val="04A0" w:firstRow="1" w:lastRow="0" w:firstColumn="1" w:lastColumn="0" w:noHBand="0" w:noVBand="1"/>
      </w:tblPr>
      <w:tblGrid>
        <w:gridCol w:w="9354"/>
      </w:tblGrid>
      <w:tr w:rsidR="003C455B" w:rsidRPr="002A307F" w14:paraId="0B86474D" w14:textId="77777777" w:rsidTr="000D20FF">
        <w:trPr>
          <w:trHeight w:val="6529"/>
          <w:jc w:val="center"/>
        </w:trPr>
        <w:tc>
          <w:tcPr>
            <w:tcW w:w="7370" w:type="dxa"/>
          </w:tcPr>
          <w:p w14:paraId="277B3FA2" w14:textId="4510D00D" w:rsidR="003C455B" w:rsidRPr="0068206C" w:rsidRDefault="003C455B" w:rsidP="0068206C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Verdana" w:eastAsia="MS Mincho" w:hAnsi="Verdana"/>
                <w:sz w:val="18"/>
                <w:szCs w:val="18"/>
                <w:lang w:eastAsia="es-CL"/>
              </w:rPr>
            </w:pPr>
            <w:r w:rsidRPr="0068206C">
              <w:rPr>
                <w:rFonts w:ascii="Verdana" w:hAnsi="Verdana"/>
                <w:b/>
                <w:sz w:val="18"/>
                <w:szCs w:val="18"/>
              </w:rPr>
              <w:t>Características de la treonina</w:t>
            </w:r>
          </w:p>
          <w:p w14:paraId="3E44DFBA" w14:textId="77777777" w:rsidR="003C455B" w:rsidRDefault="003C455B" w:rsidP="000D20FF">
            <w:pPr>
              <w:spacing w:line="276" w:lineRule="auto"/>
              <w:ind w:left="284" w:hanging="284"/>
              <w:rPr>
                <w:rFonts w:ascii="Verdana" w:eastAsia="MS Mincho" w:hAnsi="Verdana"/>
                <w:sz w:val="18"/>
                <w:szCs w:val="18"/>
                <w:lang w:eastAsia="es-CL"/>
              </w:rPr>
            </w:pPr>
          </w:p>
          <w:p w14:paraId="7347AD0C" w14:textId="77777777" w:rsidR="003C455B" w:rsidRPr="002A307F" w:rsidRDefault="003C455B" w:rsidP="003C455B">
            <w:pPr>
              <w:numPr>
                <w:ilvl w:val="0"/>
                <w:numId w:val="2"/>
              </w:numPr>
              <w:spacing w:after="0" w:line="276" w:lineRule="auto"/>
              <w:ind w:left="567" w:hanging="283"/>
              <w:contextualSpacing/>
              <w:jc w:val="both"/>
              <w:rPr>
                <w:rFonts w:ascii="Verdana" w:eastAsia="MS Mincho" w:hAnsi="Verdana"/>
                <w:sz w:val="18"/>
                <w:szCs w:val="18"/>
                <w:lang w:eastAsia="es-CL"/>
              </w:rPr>
            </w:pPr>
            <w:r>
              <w:rPr>
                <w:rFonts w:ascii="Verdana" w:eastAsia="MS Mincho" w:hAnsi="Verdana"/>
                <w:sz w:val="18"/>
                <w:szCs w:val="18"/>
                <w:lang w:eastAsia="es-CL"/>
              </w:rPr>
              <w:t>Las alumnas y los alumnos s</w:t>
            </w:r>
            <w:r w:rsidRPr="002A307F">
              <w:rPr>
                <w:rFonts w:ascii="Verdana" w:eastAsia="MS Mincho" w:hAnsi="Verdana"/>
                <w:sz w:val="18"/>
                <w:szCs w:val="18"/>
                <w:lang w:eastAsia="es-CL"/>
              </w:rPr>
              <w:t xml:space="preserve">e reúnen en equipos de trabajo para desarrollar </w:t>
            </w:r>
            <w:r>
              <w:rPr>
                <w:rFonts w:ascii="Verdana" w:eastAsia="MS Mincho" w:hAnsi="Verdana"/>
                <w:sz w:val="18"/>
                <w:szCs w:val="18"/>
                <w:lang w:eastAsia="es-CL"/>
              </w:rPr>
              <w:t>est</w:t>
            </w:r>
            <w:r w:rsidRPr="002A307F">
              <w:rPr>
                <w:rFonts w:ascii="Verdana" w:eastAsia="MS Mincho" w:hAnsi="Verdana"/>
                <w:sz w:val="18"/>
                <w:szCs w:val="18"/>
                <w:lang w:eastAsia="es-CL"/>
              </w:rPr>
              <w:t xml:space="preserve">a actividad en la </w:t>
            </w:r>
            <w:r>
              <w:rPr>
                <w:rFonts w:ascii="Verdana" w:eastAsia="MS Mincho" w:hAnsi="Verdana"/>
                <w:sz w:val="18"/>
                <w:szCs w:val="18"/>
                <w:lang w:eastAsia="es-CL"/>
              </w:rPr>
              <w:t>q</w:t>
            </w:r>
            <w:r w:rsidRPr="002A307F">
              <w:rPr>
                <w:rFonts w:ascii="Verdana" w:eastAsia="MS Mincho" w:hAnsi="Verdana"/>
                <w:sz w:val="18"/>
                <w:szCs w:val="18"/>
                <w:lang w:eastAsia="es-CL"/>
              </w:rPr>
              <w:t>u</w:t>
            </w:r>
            <w:r>
              <w:rPr>
                <w:rFonts w:ascii="Verdana" w:eastAsia="MS Mincho" w:hAnsi="Verdana"/>
                <w:sz w:val="18"/>
                <w:szCs w:val="18"/>
                <w:lang w:eastAsia="es-CL"/>
              </w:rPr>
              <w:t>e</w:t>
            </w:r>
            <w:r w:rsidRPr="002A307F">
              <w:rPr>
                <w:rFonts w:ascii="Verdana" w:eastAsia="MS Mincho" w:hAnsi="Verdana"/>
                <w:sz w:val="18"/>
                <w:szCs w:val="18"/>
                <w:lang w:eastAsia="es-CL"/>
              </w:rPr>
              <w:t xml:space="preserve"> trabajar</w:t>
            </w:r>
            <w:r>
              <w:rPr>
                <w:rFonts w:ascii="Verdana" w:eastAsia="MS Mincho" w:hAnsi="Verdana"/>
                <w:sz w:val="18"/>
                <w:szCs w:val="18"/>
                <w:lang w:eastAsia="es-CL"/>
              </w:rPr>
              <w:t>á</w:t>
            </w:r>
            <w:r w:rsidRPr="002A307F">
              <w:rPr>
                <w:rFonts w:ascii="Verdana" w:eastAsia="MS Mincho" w:hAnsi="Verdana"/>
                <w:sz w:val="18"/>
                <w:szCs w:val="18"/>
                <w:lang w:eastAsia="es-CL"/>
              </w:rPr>
              <w:t>n en torno a la molécula de treonina. Este compuesto es un aminoácido esencial que participa en el metabolismo de las grasas</w:t>
            </w:r>
            <w:r>
              <w:rPr>
                <w:rFonts w:ascii="Verdana" w:eastAsia="MS Mincho" w:hAnsi="Verdana"/>
                <w:sz w:val="18"/>
                <w:szCs w:val="18"/>
                <w:lang w:eastAsia="es-CL"/>
              </w:rPr>
              <w:t>.</w:t>
            </w:r>
          </w:p>
          <w:p w14:paraId="1FC69455" w14:textId="0FCF71B5" w:rsidR="003C455B" w:rsidRPr="002A307F" w:rsidRDefault="003C455B" w:rsidP="003C455B">
            <w:pPr>
              <w:numPr>
                <w:ilvl w:val="0"/>
                <w:numId w:val="2"/>
              </w:numPr>
              <w:spacing w:after="0" w:line="276" w:lineRule="auto"/>
              <w:ind w:left="567" w:hanging="283"/>
              <w:contextualSpacing/>
              <w:jc w:val="both"/>
              <w:rPr>
                <w:rFonts w:ascii="Verdana" w:eastAsia="MS Mincho" w:hAnsi="Verdana"/>
                <w:sz w:val="18"/>
                <w:szCs w:val="18"/>
                <w:lang w:eastAsia="es-CL"/>
              </w:rPr>
            </w:pPr>
            <w:r w:rsidRPr="002A307F">
              <w:rPr>
                <w:rFonts w:ascii="Verdana" w:eastAsia="MS Mincho" w:hAnsi="Verdana"/>
                <w:sz w:val="18"/>
                <w:szCs w:val="18"/>
                <w:lang w:eastAsia="es-CL"/>
              </w:rPr>
              <w:t xml:space="preserve">A continuación, completan el siguiente cuadro con la representación de la molécula de </w:t>
            </w:r>
            <w:r>
              <w:rPr>
                <w:rFonts w:ascii="Verdana" w:eastAsia="MS Mincho" w:hAnsi="Verdana"/>
                <w:sz w:val="18"/>
                <w:szCs w:val="18"/>
                <w:lang w:eastAsia="es-CL"/>
              </w:rPr>
              <w:t>treonina</w:t>
            </w:r>
            <w:r w:rsidRPr="002A307F">
              <w:rPr>
                <w:rFonts w:ascii="Verdana" w:eastAsia="MS Mincho" w:hAnsi="Verdana"/>
                <w:sz w:val="18"/>
                <w:szCs w:val="18"/>
                <w:lang w:eastAsia="es-CL"/>
              </w:rPr>
              <w:t xml:space="preserve"> correspondiente</w:t>
            </w:r>
            <w:r>
              <w:rPr>
                <w:rFonts w:ascii="Verdana" w:eastAsia="MS Mincho" w:hAnsi="Verdana"/>
                <w:sz w:val="18"/>
                <w:szCs w:val="18"/>
                <w:lang w:eastAsia="es-CL"/>
              </w:rPr>
              <w:t>,</w:t>
            </w:r>
            <w:r w:rsidRPr="002A307F">
              <w:rPr>
                <w:rFonts w:ascii="Verdana" w:eastAsia="MS Mincho" w:hAnsi="Verdana"/>
                <w:sz w:val="18"/>
                <w:szCs w:val="18"/>
                <w:lang w:eastAsia="es-CL"/>
              </w:rPr>
              <w:t xml:space="preserve"> o con el nombre del modelo utilizado (ya sea fórmula o proyección):</w:t>
            </w:r>
            <w:r w:rsidR="0068206C">
              <w:rPr>
                <w:rFonts w:ascii="Verdana" w:eastAsia="MS Mincho" w:hAnsi="Verdana"/>
                <w:sz w:val="18"/>
                <w:szCs w:val="18"/>
                <w:lang w:eastAsia="es-CL"/>
              </w:rPr>
              <w:br/>
            </w:r>
          </w:p>
          <w:p w14:paraId="203534CE" w14:textId="25B9BEF5" w:rsidR="003C455B" w:rsidRPr="002A307F" w:rsidRDefault="003C455B" w:rsidP="000D20FF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E0F66">
              <w:rPr>
                <w:noProof/>
                <w:lang w:eastAsia="es-CL"/>
              </w:rPr>
              <w:drawing>
                <wp:inline distT="0" distB="0" distL="0" distR="0" wp14:anchorId="062A7FF3" wp14:editId="5C0778FF">
                  <wp:extent cx="3035300" cy="96075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1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0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3797F5" w14:textId="2449DE22" w:rsidR="003C455B" w:rsidRDefault="003C455B" w:rsidP="003C455B">
            <w:pPr>
              <w:numPr>
                <w:ilvl w:val="0"/>
                <w:numId w:val="2"/>
              </w:numPr>
              <w:spacing w:after="0" w:line="276" w:lineRule="auto"/>
              <w:ind w:left="567" w:hanging="283"/>
              <w:contextualSpacing/>
              <w:jc w:val="both"/>
              <w:rPr>
                <w:rFonts w:ascii="Verdana" w:eastAsia="MS Mincho" w:hAnsi="Verdana"/>
                <w:sz w:val="18"/>
                <w:szCs w:val="18"/>
                <w:lang w:eastAsia="es-CL"/>
              </w:rPr>
            </w:pPr>
            <w:r w:rsidRPr="002A307F">
              <w:rPr>
                <w:rFonts w:ascii="Verdana" w:eastAsia="MS Mincho" w:hAnsi="Verdana"/>
                <w:sz w:val="18"/>
                <w:szCs w:val="18"/>
                <w:lang w:eastAsia="es-CL"/>
              </w:rPr>
              <w:t>Responden</w:t>
            </w:r>
            <w:r>
              <w:rPr>
                <w:rFonts w:ascii="Verdana" w:eastAsia="MS Mincho" w:hAnsi="Verdana"/>
                <w:sz w:val="18"/>
                <w:szCs w:val="18"/>
                <w:lang w:eastAsia="es-CL"/>
              </w:rPr>
              <w:t>:</w:t>
            </w:r>
          </w:p>
          <w:p w14:paraId="40DB8CBA" w14:textId="77777777" w:rsidR="0068206C" w:rsidRDefault="0068206C" w:rsidP="0068206C">
            <w:pPr>
              <w:spacing w:after="0" w:line="276" w:lineRule="auto"/>
              <w:ind w:left="567"/>
              <w:contextualSpacing/>
              <w:jc w:val="both"/>
              <w:rPr>
                <w:rFonts w:ascii="Verdana" w:eastAsia="MS Mincho" w:hAnsi="Verdana"/>
                <w:sz w:val="18"/>
                <w:szCs w:val="18"/>
                <w:lang w:eastAsia="es-CL"/>
              </w:rPr>
            </w:pPr>
          </w:p>
          <w:p w14:paraId="53CD52AB" w14:textId="77777777" w:rsidR="003C455B" w:rsidRDefault="003C455B" w:rsidP="003C455B">
            <w:pPr>
              <w:numPr>
                <w:ilvl w:val="0"/>
                <w:numId w:val="3"/>
              </w:numPr>
              <w:spacing w:after="0" w:line="276" w:lineRule="auto"/>
              <w:ind w:left="993" w:right="33"/>
              <w:contextualSpacing/>
              <w:jc w:val="both"/>
              <w:rPr>
                <w:rFonts w:ascii="Verdana" w:eastAsia="MS Mincho" w:hAnsi="Verdana"/>
                <w:sz w:val="18"/>
                <w:szCs w:val="18"/>
                <w:lang w:eastAsia="es-CL"/>
              </w:rPr>
            </w:pPr>
            <w:r w:rsidRPr="002A307F">
              <w:rPr>
                <w:rFonts w:ascii="Verdana" w:eastAsia="MS Mincho" w:hAnsi="Verdana"/>
                <w:sz w:val="18"/>
                <w:szCs w:val="18"/>
                <w:lang w:eastAsia="es-CL"/>
              </w:rPr>
              <w:t>¿</w:t>
            </w:r>
            <w:r>
              <w:rPr>
                <w:rFonts w:ascii="Verdana" w:eastAsia="MS Mincho" w:hAnsi="Verdana"/>
                <w:sz w:val="18"/>
                <w:szCs w:val="18"/>
                <w:lang w:eastAsia="es-CL"/>
              </w:rPr>
              <w:t>P</w:t>
            </w:r>
            <w:r w:rsidRPr="002A307F">
              <w:rPr>
                <w:rFonts w:ascii="Verdana" w:eastAsia="MS Mincho" w:hAnsi="Verdana"/>
                <w:sz w:val="18"/>
                <w:szCs w:val="18"/>
                <w:lang w:eastAsia="es-CL"/>
              </w:rPr>
              <w:t>ara qué es más apropiada cada representación?</w:t>
            </w:r>
          </w:p>
          <w:p w14:paraId="06E93A99" w14:textId="77777777" w:rsidR="003C455B" w:rsidRDefault="003C455B" w:rsidP="003C455B">
            <w:pPr>
              <w:numPr>
                <w:ilvl w:val="0"/>
                <w:numId w:val="3"/>
              </w:numPr>
              <w:spacing w:after="0" w:line="276" w:lineRule="auto"/>
              <w:ind w:left="993" w:right="33"/>
              <w:contextualSpacing/>
              <w:jc w:val="both"/>
              <w:rPr>
                <w:rFonts w:ascii="Verdana" w:eastAsia="MS Mincho" w:hAnsi="Verdana"/>
                <w:sz w:val="18"/>
                <w:szCs w:val="18"/>
                <w:lang w:eastAsia="es-CL"/>
              </w:rPr>
            </w:pPr>
            <w:r w:rsidRPr="002A307F">
              <w:rPr>
                <w:rFonts w:ascii="Verdana" w:eastAsia="MS Mincho" w:hAnsi="Verdana"/>
                <w:sz w:val="18"/>
                <w:szCs w:val="18"/>
                <w:lang w:eastAsia="es-CL"/>
              </w:rPr>
              <w:t>¿</w:t>
            </w:r>
            <w:r>
              <w:rPr>
                <w:rFonts w:ascii="Verdana" w:eastAsia="MS Mincho" w:hAnsi="Verdana"/>
                <w:sz w:val="18"/>
                <w:szCs w:val="18"/>
                <w:lang w:eastAsia="es-CL"/>
              </w:rPr>
              <w:t>C</w:t>
            </w:r>
            <w:r w:rsidRPr="002A307F">
              <w:rPr>
                <w:rFonts w:ascii="Verdana" w:eastAsia="MS Mincho" w:hAnsi="Verdana"/>
                <w:sz w:val="18"/>
                <w:szCs w:val="18"/>
                <w:lang w:eastAsia="es-CL"/>
              </w:rPr>
              <w:t>uántos centros quirales posee la molécula?</w:t>
            </w:r>
          </w:p>
          <w:p w14:paraId="3C79B635" w14:textId="77777777" w:rsidR="003C455B" w:rsidRDefault="003C455B" w:rsidP="003C455B">
            <w:pPr>
              <w:numPr>
                <w:ilvl w:val="0"/>
                <w:numId w:val="3"/>
              </w:numPr>
              <w:spacing w:after="0" w:line="276" w:lineRule="auto"/>
              <w:ind w:left="993" w:right="33"/>
              <w:contextualSpacing/>
              <w:jc w:val="both"/>
              <w:rPr>
                <w:rFonts w:ascii="Verdana" w:eastAsia="MS Mincho" w:hAnsi="Verdana"/>
                <w:sz w:val="18"/>
                <w:szCs w:val="18"/>
                <w:lang w:eastAsia="es-CL"/>
              </w:rPr>
            </w:pPr>
            <w:r w:rsidRPr="002A307F">
              <w:rPr>
                <w:rFonts w:ascii="Verdana" w:eastAsia="MS Mincho" w:hAnsi="Verdana"/>
                <w:sz w:val="18"/>
                <w:szCs w:val="18"/>
                <w:lang w:eastAsia="es-CL"/>
              </w:rPr>
              <w:t>¿</w:t>
            </w:r>
            <w:r>
              <w:rPr>
                <w:rFonts w:ascii="Verdana" w:eastAsia="MS Mincho" w:hAnsi="Verdana"/>
                <w:sz w:val="18"/>
                <w:szCs w:val="18"/>
                <w:lang w:eastAsia="es-CL"/>
              </w:rPr>
              <w:t>C</w:t>
            </w:r>
            <w:r w:rsidRPr="002A307F">
              <w:rPr>
                <w:rFonts w:ascii="Verdana" w:eastAsia="MS Mincho" w:hAnsi="Verdana"/>
                <w:sz w:val="18"/>
                <w:szCs w:val="18"/>
                <w:lang w:eastAsia="es-CL"/>
              </w:rPr>
              <w:t>uántos enantiómeros posee?</w:t>
            </w:r>
          </w:p>
          <w:p w14:paraId="244FD2B1" w14:textId="77777777" w:rsidR="003C455B" w:rsidRDefault="003C455B" w:rsidP="003C455B">
            <w:pPr>
              <w:numPr>
                <w:ilvl w:val="0"/>
                <w:numId w:val="3"/>
              </w:numPr>
              <w:spacing w:after="0" w:line="276" w:lineRule="auto"/>
              <w:ind w:left="993" w:right="33"/>
              <w:contextualSpacing/>
              <w:jc w:val="both"/>
              <w:rPr>
                <w:rFonts w:ascii="Verdana" w:eastAsia="MS Mincho" w:hAnsi="Verdana"/>
                <w:sz w:val="18"/>
                <w:szCs w:val="18"/>
                <w:lang w:eastAsia="es-CL"/>
              </w:rPr>
            </w:pPr>
            <w:r w:rsidRPr="002A307F">
              <w:rPr>
                <w:rFonts w:ascii="Verdana" w:eastAsia="MS Mincho" w:hAnsi="Verdana"/>
                <w:sz w:val="18"/>
                <w:szCs w:val="18"/>
                <w:lang w:eastAsia="es-CL"/>
              </w:rPr>
              <w:t>¿Qué diferencias existen entre ellos?</w:t>
            </w:r>
          </w:p>
          <w:p w14:paraId="25529610" w14:textId="41B29542" w:rsidR="003C455B" w:rsidRDefault="003C455B" w:rsidP="003C455B">
            <w:pPr>
              <w:numPr>
                <w:ilvl w:val="0"/>
                <w:numId w:val="3"/>
              </w:numPr>
              <w:spacing w:after="0" w:line="276" w:lineRule="auto"/>
              <w:ind w:left="993" w:right="33"/>
              <w:contextualSpacing/>
              <w:jc w:val="both"/>
              <w:rPr>
                <w:rFonts w:ascii="Verdana" w:eastAsia="MS Mincho" w:hAnsi="Verdana"/>
                <w:sz w:val="18"/>
                <w:szCs w:val="18"/>
                <w:lang w:eastAsia="es-CL"/>
              </w:rPr>
            </w:pPr>
            <w:r w:rsidRPr="002A307F">
              <w:rPr>
                <w:rFonts w:ascii="Verdana" w:eastAsia="MS Mincho" w:hAnsi="Verdana"/>
                <w:sz w:val="18"/>
                <w:szCs w:val="18"/>
                <w:lang w:eastAsia="es-CL"/>
              </w:rPr>
              <w:t>¿</w:t>
            </w:r>
            <w:r>
              <w:rPr>
                <w:rFonts w:ascii="Verdana" w:eastAsia="MS Mincho" w:hAnsi="Verdana"/>
                <w:sz w:val="18"/>
                <w:szCs w:val="18"/>
                <w:lang w:eastAsia="es-CL"/>
              </w:rPr>
              <w:t>E</w:t>
            </w:r>
            <w:r w:rsidRPr="002A307F">
              <w:rPr>
                <w:rFonts w:ascii="Verdana" w:eastAsia="MS Mincho" w:hAnsi="Verdana"/>
                <w:sz w:val="18"/>
                <w:szCs w:val="18"/>
                <w:lang w:eastAsia="es-CL"/>
              </w:rPr>
              <w:t>s una molécula polar o apolar?</w:t>
            </w:r>
          </w:p>
          <w:p w14:paraId="7B14EF12" w14:textId="77777777" w:rsidR="0068206C" w:rsidRPr="002A307F" w:rsidRDefault="0068206C" w:rsidP="0068206C">
            <w:pPr>
              <w:spacing w:after="0" w:line="276" w:lineRule="auto"/>
              <w:ind w:left="993" w:right="33"/>
              <w:contextualSpacing/>
              <w:jc w:val="both"/>
              <w:rPr>
                <w:rFonts w:ascii="Verdana" w:eastAsia="MS Mincho" w:hAnsi="Verdana"/>
                <w:sz w:val="18"/>
                <w:szCs w:val="18"/>
                <w:lang w:eastAsia="es-CL"/>
              </w:rPr>
            </w:pPr>
            <w:bookmarkStart w:id="0" w:name="_GoBack"/>
            <w:bookmarkEnd w:id="0"/>
          </w:p>
          <w:p w14:paraId="6C539B68" w14:textId="77777777" w:rsidR="003C455B" w:rsidRPr="002A307F" w:rsidRDefault="003C455B" w:rsidP="003C455B">
            <w:pPr>
              <w:numPr>
                <w:ilvl w:val="0"/>
                <w:numId w:val="2"/>
              </w:numPr>
              <w:spacing w:after="0" w:line="276" w:lineRule="auto"/>
              <w:ind w:left="567" w:hanging="283"/>
              <w:contextualSpacing/>
              <w:jc w:val="both"/>
              <w:rPr>
                <w:rFonts w:ascii="Verdana" w:eastAsia="MS Mincho" w:hAnsi="Verdana"/>
                <w:sz w:val="18"/>
                <w:szCs w:val="18"/>
                <w:lang w:eastAsia="es-CL"/>
              </w:rPr>
            </w:pPr>
            <w:r w:rsidRPr="002A307F">
              <w:rPr>
                <w:rFonts w:ascii="Verdana" w:eastAsia="MS Mincho" w:hAnsi="Verdana"/>
                <w:sz w:val="18"/>
                <w:szCs w:val="18"/>
                <w:lang w:eastAsia="es-CL"/>
              </w:rPr>
              <w:t>Predicen, basándose en su estructura, si es soluble en agua. Justifican su predicción. Luego, investigan de manera teórica o experimental si su predicción fue correcta.</w:t>
            </w:r>
          </w:p>
          <w:p w14:paraId="5E7DDC71" w14:textId="77777777" w:rsidR="003C455B" w:rsidRPr="002A307F" w:rsidRDefault="003C455B" w:rsidP="003C455B">
            <w:pPr>
              <w:numPr>
                <w:ilvl w:val="0"/>
                <w:numId w:val="2"/>
              </w:numPr>
              <w:spacing w:after="0" w:line="276" w:lineRule="auto"/>
              <w:ind w:left="567" w:hanging="283"/>
              <w:contextualSpacing/>
              <w:jc w:val="both"/>
              <w:rPr>
                <w:rFonts w:ascii="Verdana" w:eastAsia="MS Mincho" w:hAnsi="Verdana"/>
                <w:sz w:val="18"/>
                <w:szCs w:val="18"/>
                <w:lang w:eastAsia="es-CL"/>
              </w:rPr>
            </w:pPr>
            <w:r w:rsidRPr="002A307F">
              <w:rPr>
                <w:rFonts w:ascii="Verdana" w:eastAsia="MS Mincho" w:hAnsi="Verdana"/>
                <w:sz w:val="18"/>
                <w:szCs w:val="18"/>
                <w:lang w:eastAsia="es-CL"/>
              </w:rPr>
              <w:t>Representan por medio de la estructura de Fischer sus enantiómeros y designa</w:t>
            </w:r>
            <w:r>
              <w:rPr>
                <w:rFonts w:ascii="Verdana" w:eastAsia="MS Mincho" w:hAnsi="Verdana"/>
                <w:sz w:val="18"/>
                <w:szCs w:val="18"/>
                <w:lang w:eastAsia="es-CL"/>
              </w:rPr>
              <w:t>n</w:t>
            </w:r>
            <w:r w:rsidRPr="002A307F">
              <w:rPr>
                <w:rFonts w:ascii="Verdana" w:eastAsia="MS Mincho" w:hAnsi="Verdana"/>
                <w:sz w:val="18"/>
                <w:szCs w:val="18"/>
                <w:lang w:eastAsia="es-CL"/>
              </w:rPr>
              <w:t xml:space="preserve"> sus configuraciones R o S</w:t>
            </w:r>
            <w:r>
              <w:rPr>
                <w:rFonts w:ascii="Verdana" w:eastAsia="MS Mincho" w:hAnsi="Verdana"/>
                <w:sz w:val="18"/>
                <w:szCs w:val="18"/>
                <w:lang w:eastAsia="es-CL"/>
              </w:rPr>
              <w:t>,</w:t>
            </w:r>
            <w:r w:rsidRPr="002A307F">
              <w:rPr>
                <w:rFonts w:ascii="Verdana" w:eastAsia="MS Mincho" w:hAnsi="Verdana"/>
                <w:sz w:val="18"/>
                <w:szCs w:val="18"/>
                <w:lang w:eastAsia="es-CL"/>
              </w:rPr>
              <w:t xml:space="preserve"> respectivamente.</w:t>
            </w:r>
          </w:p>
          <w:p w14:paraId="1D7EB80A" w14:textId="77777777" w:rsidR="003C455B" w:rsidRPr="002A307F" w:rsidRDefault="003C455B" w:rsidP="003C455B">
            <w:pPr>
              <w:numPr>
                <w:ilvl w:val="0"/>
                <w:numId w:val="2"/>
              </w:numPr>
              <w:spacing w:after="0" w:line="276" w:lineRule="auto"/>
              <w:ind w:left="567" w:hanging="283"/>
              <w:contextualSpacing/>
              <w:jc w:val="both"/>
              <w:rPr>
                <w:rFonts w:ascii="Verdana" w:eastAsia="MS Mincho" w:hAnsi="Verdana"/>
                <w:sz w:val="18"/>
                <w:szCs w:val="18"/>
                <w:lang w:eastAsia="es-CL"/>
              </w:rPr>
            </w:pPr>
            <w:r w:rsidRPr="002A307F">
              <w:rPr>
                <w:rFonts w:ascii="Verdana" w:eastAsia="MS Mincho" w:hAnsi="Verdana"/>
                <w:sz w:val="18"/>
                <w:szCs w:val="18"/>
                <w:lang w:eastAsia="es-CL"/>
              </w:rPr>
              <w:t>Dibuja</w:t>
            </w:r>
            <w:r>
              <w:rPr>
                <w:rFonts w:ascii="Verdana" w:eastAsia="MS Mincho" w:hAnsi="Verdana"/>
                <w:sz w:val="18"/>
                <w:szCs w:val="18"/>
                <w:lang w:eastAsia="es-CL"/>
              </w:rPr>
              <w:t>n</w:t>
            </w:r>
            <w:r w:rsidRPr="002A307F">
              <w:rPr>
                <w:rFonts w:ascii="Verdana" w:eastAsia="MS Mincho" w:hAnsi="Verdana"/>
                <w:sz w:val="18"/>
                <w:szCs w:val="18"/>
                <w:lang w:eastAsia="es-CL"/>
              </w:rPr>
              <w:t xml:space="preserve"> un isómero cualquiera de la treonina y </w:t>
            </w:r>
            <w:r>
              <w:rPr>
                <w:rFonts w:ascii="Verdana" w:eastAsia="MS Mincho" w:hAnsi="Verdana"/>
                <w:sz w:val="18"/>
                <w:szCs w:val="18"/>
                <w:lang w:eastAsia="es-CL"/>
              </w:rPr>
              <w:t xml:space="preserve">lo </w:t>
            </w:r>
            <w:r w:rsidRPr="002A307F">
              <w:rPr>
                <w:rFonts w:ascii="Verdana" w:eastAsia="MS Mincho" w:hAnsi="Verdana"/>
                <w:sz w:val="18"/>
                <w:szCs w:val="18"/>
                <w:lang w:eastAsia="es-CL"/>
              </w:rPr>
              <w:t>comp</w:t>
            </w:r>
            <w:r>
              <w:rPr>
                <w:rFonts w:ascii="Verdana" w:eastAsia="MS Mincho" w:hAnsi="Verdana"/>
                <w:sz w:val="18"/>
                <w:szCs w:val="18"/>
                <w:lang w:eastAsia="es-CL"/>
              </w:rPr>
              <w:t>a</w:t>
            </w:r>
            <w:r w:rsidRPr="002A307F">
              <w:rPr>
                <w:rFonts w:ascii="Verdana" w:eastAsia="MS Mincho" w:hAnsi="Verdana"/>
                <w:sz w:val="18"/>
                <w:szCs w:val="18"/>
                <w:lang w:eastAsia="es-CL"/>
              </w:rPr>
              <w:t>ra</w:t>
            </w:r>
            <w:r>
              <w:rPr>
                <w:rFonts w:ascii="Verdana" w:eastAsia="MS Mincho" w:hAnsi="Verdana"/>
                <w:sz w:val="18"/>
                <w:szCs w:val="18"/>
                <w:lang w:eastAsia="es-CL"/>
              </w:rPr>
              <w:t>n</w:t>
            </w:r>
            <w:r w:rsidRPr="002A307F">
              <w:rPr>
                <w:rFonts w:ascii="Verdana" w:eastAsia="MS Mincho" w:hAnsi="Verdana"/>
                <w:sz w:val="18"/>
                <w:szCs w:val="18"/>
                <w:lang w:eastAsia="es-CL"/>
              </w:rPr>
              <w:t xml:space="preserve">, considerando aspectos como: número de </w:t>
            </w:r>
            <w:r>
              <w:rPr>
                <w:rFonts w:ascii="Verdana" w:eastAsia="MS Mincho" w:hAnsi="Verdana"/>
                <w:sz w:val="18"/>
                <w:szCs w:val="18"/>
                <w:lang w:eastAsia="es-CL"/>
              </w:rPr>
              <w:t>carbonos</w:t>
            </w:r>
            <w:r w:rsidRPr="002A307F">
              <w:rPr>
                <w:rFonts w:ascii="Verdana" w:eastAsia="MS Mincho" w:hAnsi="Verdana"/>
                <w:sz w:val="18"/>
                <w:szCs w:val="18"/>
                <w:lang w:eastAsia="es-CL"/>
              </w:rPr>
              <w:t xml:space="preserve"> quirales, grupos funcionales, tipos de enlaces, polaridad de la molécula.</w:t>
            </w:r>
          </w:p>
          <w:p w14:paraId="21671B12" w14:textId="77777777" w:rsidR="003C455B" w:rsidRPr="002A307F" w:rsidRDefault="003C455B" w:rsidP="000D20FF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43E6BE97" w14:textId="77777777" w:rsidR="003C455B" w:rsidRDefault="003C455B" w:rsidP="00EA4A48">
      <w:pPr>
        <w:rPr>
          <w:sz w:val="20"/>
          <w:szCs w:val="20"/>
        </w:rPr>
      </w:pPr>
    </w:p>
    <w:p w14:paraId="4B54783C" w14:textId="77777777" w:rsidR="00CB4834" w:rsidRDefault="00CB4834"/>
    <w:sectPr w:rsidR="00CB48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B2FBD"/>
    <w:multiLevelType w:val="hybridMultilevel"/>
    <w:tmpl w:val="1E945AC6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10974D4"/>
    <w:multiLevelType w:val="hybridMultilevel"/>
    <w:tmpl w:val="EBEC5A1E"/>
    <w:lvl w:ilvl="0" w:tplc="0DA85D04">
      <w:start w:val="5"/>
      <w:numFmt w:val="decimal"/>
      <w:lvlText w:val="%1."/>
      <w:lvlJc w:val="left"/>
      <w:pPr>
        <w:ind w:left="794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514" w:hanging="360"/>
      </w:pPr>
    </w:lvl>
    <w:lvl w:ilvl="2" w:tplc="340A001B" w:tentative="1">
      <w:start w:val="1"/>
      <w:numFmt w:val="lowerRoman"/>
      <w:lvlText w:val="%3."/>
      <w:lvlJc w:val="right"/>
      <w:pPr>
        <w:ind w:left="2234" w:hanging="180"/>
      </w:pPr>
    </w:lvl>
    <w:lvl w:ilvl="3" w:tplc="340A000F" w:tentative="1">
      <w:start w:val="1"/>
      <w:numFmt w:val="decimal"/>
      <w:lvlText w:val="%4."/>
      <w:lvlJc w:val="left"/>
      <w:pPr>
        <w:ind w:left="2954" w:hanging="360"/>
      </w:pPr>
    </w:lvl>
    <w:lvl w:ilvl="4" w:tplc="340A0019" w:tentative="1">
      <w:start w:val="1"/>
      <w:numFmt w:val="lowerLetter"/>
      <w:lvlText w:val="%5."/>
      <w:lvlJc w:val="left"/>
      <w:pPr>
        <w:ind w:left="3674" w:hanging="360"/>
      </w:pPr>
    </w:lvl>
    <w:lvl w:ilvl="5" w:tplc="340A001B" w:tentative="1">
      <w:start w:val="1"/>
      <w:numFmt w:val="lowerRoman"/>
      <w:lvlText w:val="%6."/>
      <w:lvlJc w:val="right"/>
      <w:pPr>
        <w:ind w:left="4394" w:hanging="180"/>
      </w:pPr>
    </w:lvl>
    <w:lvl w:ilvl="6" w:tplc="340A000F" w:tentative="1">
      <w:start w:val="1"/>
      <w:numFmt w:val="decimal"/>
      <w:lvlText w:val="%7."/>
      <w:lvlJc w:val="left"/>
      <w:pPr>
        <w:ind w:left="5114" w:hanging="360"/>
      </w:pPr>
    </w:lvl>
    <w:lvl w:ilvl="7" w:tplc="340A0019" w:tentative="1">
      <w:start w:val="1"/>
      <w:numFmt w:val="lowerLetter"/>
      <w:lvlText w:val="%8."/>
      <w:lvlJc w:val="left"/>
      <w:pPr>
        <w:ind w:left="5834" w:hanging="360"/>
      </w:pPr>
    </w:lvl>
    <w:lvl w:ilvl="8" w:tplc="340A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" w15:restartNumberingAfterBreak="0">
    <w:nsid w:val="3C745D3F"/>
    <w:multiLevelType w:val="hybridMultilevel"/>
    <w:tmpl w:val="9726056E"/>
    <w:lvl w:ilvl="0" w:tplc="E99CA6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2C3C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3D2FB7"/>
    <w:multiLevelType w:val="hybridMultilevel"/>
    <w:tmpl w:val="658056F4"/>
    <w:lvl w:ilvl="0" w:tplc="30EE972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58"/>
    <w:rsid w:val="00127EDB"/>
    <w:rsid w:val="00232BD5"/>
    <w:rsid w:val="003C455B"/>
    <w:rsid w:val="004B4AE6"/>
    <w:rsid w:val="005B3F6E"/>
    <w:rsid w:val="005C7193"/>
    <w:rsid w:val="00613B7D"/>
    <w:rsid w:val="0068206C"/>
    <w:rsid w:val="00953A58"/>
    <w:rsid w:val="0099545B"/>
    <w:rsid w:val="00B252E6"/>
    <w:rsid w:val="00B847DF"/>
    <w:rsid w:val="00CB4834"/>
    <w:rsid w:val="00D713E3"/>
    <w:rsid w:val="00EA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5485"/>
  <w15:chartTrackingRefBased/>
  <w15:docId w15:val="{B2197065-05D1-44DF-83B1-3968930E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A4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5</cp:revision>
  <dcterms:created xsi:type="dcterms:W3CDTF">2019-05-20T17:32:00Z</dcterms:created>
  <dcterms:modified xsi:type="dcterms:W3CDTF">2019-05-20T17:34:00Z</dcterms:modified>
</cp:coreProperties>
</file>